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E48" w:rsidRDefault="00304FFD" w:rsidP="000D0658">
      <w:pPr>
        <w:snapToGrid w:val="0"/>
        <w:jc w:val="right"/>
        <w:rPr>
          <w:rFonts w:ascii="MS PGothic" w:eastAsia="MS PGothic" w:hAnsi="MS PGothic"/>
          <w:sz w:val="22"/>
        </w:rPr>
      </w:pPr>
      <w:r>
        <w:rPr>
          <w:rFonts w:ascii="MS PGothic" w:eastAsia="MS PGothic" w:hAnsi="MS PGothic" w:hint="eastAsia"/>
          <w:sz w:val="22"/>
        </w:rPr>
        <w:t>9</w:t>
      </w:r>
      <w:r w:rsidR="009C2731">
        <w:rPr>
          <w:rFonts w:ascii="MS PGothic" w:eastAsia="MS PGothic" w:hAnsi="MS PGothic" w:hint="eastAsia"/>
          <w:sz w:val="22"/>
        </w:rPr>
        <w:t xml:space="preserve"> </w:t>
      </w:r>
      <w:r w:rsidR="009C2731">
        <w:rPr>
          <w:rFonts w:ascii="MS PGothic" w:eastAsia="MS PGothic" w:hAnsi="MS PGothic"/>
          <w:sz w:val="22"/>
        </w:rPr>
        <w:t>Marc</w:t>
      </w:r>
      <w:bookmarkStart w:id="0" w:name="_GoBack"/>
      <w:bookmarkEnd w:id="0"/>
      <w:r w:rsidR="009C2731">
        <w:rPr>
          <w:rFonts w:ascii="MS PGothic" w:eastAsia="MS PGothic" w:hAnsi="MS PGothic"/>
          <w:sz w:val="22"/>
        </w:rPr>
        <w:t>h, 2011</w:t>
      </w:r>
    </w:p>
    <w:p w:rsidR="009C2731" w:rsidRDefault="009C2731" w:rsidP="000D0658">
      <w:pPr>
        <w:snapToGrid w:val="0"/>
        <w:jc w:val="right"/>
        <w:rPr>
          <w:rFonts w:ascii="MS PGothic" w:eastAsia="MS PGothic" w:hAnsi="MS PGothic"/>
          <w:sz w:val="22"/>
        </w:rPr>
      </w:pPr>
      <w:r>
        <w:rPr>
          <w:rFonts w:ascii="MS PGothic" w:eastAsia="MS PGothic" w:hAnsi="MS PGothic" w:hint="eastAsia"/>
          <w:sz w:val="22"/>
        </w:rPr>
        <w:t>Kenji Furuyama</w:t>
      </w:r>
    </w:p>
    <w:p w:rsidR="00304FFD" w:rsidRDefault="00304FFD" w:rsidP="000D0658">
      <w:pPr>
        <w:wordWrap w:val="0"/>
        <w:snapToGrid w:val="0"/>
        <w:jc w:val="right"/>
        <w:rPr>
          <w:rFonts w:ascii="MS PGothic" w:eastAsia="MS PGothic" w:hAnsi="MS PGothic"/>
          <w:sz w:val="22"/>
        </w:rPr>
      </w:pPr>
      <w:r>
        <w:rPr>
          <w:rFonts w:ascii="MS PGothic" w:eastAsia="MS PGothic" w:hAnsi="MS PGothic" w:hint="eastAsia"/>
          <w:sz w:val="22"/>
        </w:rPr>
        <w:t>Japan Radio Co., Ltd.</w:t>
      </w:r>
    </w:p>
    <w:p w:rsidR="009C2731" w:rsidRDefault="009C2731">
      <w:pPr>
        <w:rPr>
          <w:rFonts w:ascii="MS PGothic" w:eastAsia="MS PGothic" w:hAnsi="MS PGothic"/>
          <w:sz w:val="22"/>
        </w:rPr>
      </w:pPr>
    </w:p>
    <w:p w:rsidR="009C2731" w:rsidRPr="00104A0F" w:rsidRDefault="009C2731" w:rsidP="009C2731">
      <w:pPr>
        <w:pStyle w:val="Heading1"/>
        <w:jc w:val="center"/>
        <w:rPr>
          <w:b/>
          <w:sz w:val="28"/>
          <w:szCs w:val="28"/>
          <w:u w:val="single"/>
        </w:rPr>
      </w:pPr>
      <w:r w:rsidRPr="00104A0F">
        <w:rPr>
          <w:rFonts w:hint="eastAsia"/>
          <w:b/>
          <w:sz w:val="28"/>
          <w:szCs w:val="28"/>
          <w:u w:val="single"/>
        </w:rPr>
        <w:t>Output power consideration for Class-B</w:t>
      </w:r>
      <w:r w:rsidRPr="00104A0F">
        <w:rPr>
          <w:b/>
          <w:sz w:val="28"/>
          <w:szCs w:val="28"/>
          <w:u w:val="single"/>
        </w:rPr>
        <w:t>”</w:t>
      </w:r>
      <w:r w:rsidRPr="00104A0F">
        <w:rPr>
          <w:rFonts w:hint="eastAsia"/>
          <w:b/>
          <w:sz w:val="28"/>
          <w:szCs w:val="28"/>
          <w:u w:val="single"/>
        </w:rPr>
        <w:t>SO</w:t>
      </w:r>
      <w:r w:rsidRPr="00104A0F">
        <w:rPr>
          <w:b/>
          <w:sz w:val="28"/>
          <w:szCs w:val="28"/>
          <w:u w:val="single"/>
        </w:rPr>
        <w:t>”</w:t>
      </w:r>
      <w:r w:rsidRPr="00104A0F">
        <w:rPr>
          <w:rFonts w:hint="eastAsia"/>
          <w:b/>
          <w:sz w:val="28"/>
          <w:szCs w:val="28"/>
          <w:u w:val="single"/>
        </w:rPr>
        <w:t xml:space="preserve"> AIS</w:t>
      </w:r>
    </w:p>
    <w:p w:rsidR="009C2731" w:rsidRDefault="009C2731">
      <w:pPr>
        <w:rPr>
          <w:rFonts w:ascii="MS PGothic" w:eastAsia="MS PGothic" w:hAnsi="MS PGothic"/>
          <w:sz w:val="22"/>
        </w:rPr>
      </w:pPr>
    </w:p>
    <w:p w:rsidR="009C2731" w:rsidRPr="00104A0F" w:rsidRDefault="009C2731" w:rsidP="005D7A9D">
      <w:pPr>
        <w:pStyle w:val="Heading1"/>
        <w:numPr>
          <w:ilvl w:val="0"/>
          <w:numId w:val="1"/>
        </w:numPr>
        <w:rPr>
          <w:b/>
        </w:rPr>
      </w:pPr>
      <w:r w:rsidRPr="00104A0F">
        <w:rPr>
          <w:rFonts w:hint="eastAsia"/>
          <w:b/>
        </w:rPr>
        <w:t>Background</w:t>
      </w:r>
    </w:p>
    <w:p w:rsidR="008D4CCE" w:rsidRDefault="00053F63" w:rsidP="0036288D">
      <w:pPr>
        <w:spacing w:afterLines="50" w:after="180"/>
        <w:ind w:firstLineChars="129" w:firstLine="284"/>
        <w:rPr>
          <w:sz w:val="22"/>
        </w:rPr>
      </w:pPr>
      <w:r>
        <w:rPr>
          <w:rFonts w:hint="eastAsia"/>
          <w:sz w:val="22"/>
        </w:rPr>
        <w:t xml:space="preserve">The AIS TWG, </w:t>
      </w:r>
      <w:r w:rsidR="00853F6D">
        <w:rPr>
          <w:rFonts w:hint="eastAsia"/>
          <w:sz w:val="22"/>
        </w:rPr>
        <w:t>met</w:t>
      </w:r>
      <w:r>
        <w:rPr>
          <w:rFonts w:hint="eastAsia"/>
          <w:sz w:val="22"/>
        </w:rPr>
        <w:t xml:space="preserve"> in Melbourne on 7-11 February 2011, discussed the liaison note from IEC TC80 WG15</w:t>
      </w:r>
      <w:r w:rsidR="008D4CCE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regarding technical </w:t>
      </w:r>
      <w:r>
        <w:rPr>
          <w:sz w:val="22"/>
        </w:rPr>
        <w:t>clarifications</w:t>
      </w:r>
      <w:r>
        <w:rPr>
          <w:rFonts w:hint="eastAsia"/>
          <w:sz w:val="22"/>
        </w:rPr>
        <w:t xml:space="preserve"> for Class-B</w:t>
      </w:r>
      <w:r>
        <w:rPr>
          <w:sz w:val="22"/>
        </w:rPr>
        <w:t>”</w:t>
      </w:r>
      <w:r>
        <w:rPr>
          <w:rFonts w:hint="eastAsia"/>
          <w:sz w:val="22"/>
        </w:rPr>
        <w:t>SO</w:t>
      </w:r>
      <w:r>
        <w:rPr>
          <w:sz w:val="22"/>
        </w:rPr>
        <w:t>”</w:t>
      </w:r>
      <w:r w:rsidR="00853F6D">
        <w:rPr>
          <w:rFonts w:hint="eastAsia"/>
          <w:sz w:val="22"/>
        </w:rPr>
        <w:t xml:space="preserve"> AIS</w:t>
      </w:r>
      <w:r w:rsidR="00F53A79">
        <w:rPr>
          <w:rFonts w:hint="eastAsia"/>
          <w:sz w:val="22"/>
        </w:rPr>
        <w:t xml:space="preserve"> (Melbourne-input 24)</w:t>
      </w:r>
      <w:r>
        <w:rPr>
          <w:rFonts w:hint="eastAsia"/>
          <w:sz w:val="22"/>
        </w:rPr>
        <w:t xml:space="preserve">. </w:t>
      </w:r>
      <w:r w:rsidR="00F53A79">
        <w:rPr>
          <w:rFonts w:hint="eastAsia"/>
          <w:sz w:val="22"/>
        </w:rPr>
        <w:t>The liaison note requests several technical clarifications</w:t>
      </w:r>
      <w:r>
        <w:rPr>
          <w:rFonts w:hint="eastAsia"/>
          <w:sz w:val="22"/>
        </w:rPr>
        <w:t xml:space="preserve">; however this document focuses on </w:t>
      </w:r>
      <w:r w:rsidR="008D4CCE">
        <w:rPr>
          <w:rFonts w:hint="eastAsia"/>
          <w:sz w:val="22"/>
        </w:rPr>
        <w:t>the high power level setting issue.</w:t>
      </w:r>
    </w:p>
    <w:p w:rsidR="008D4CCE" w:rsidRDefault="00F53A79" w:rsidP="0036288D">
      <w:pPr>
        <w:spacing w:afterLines="50" w:after="180"/>
        <w:ind w:firstLineChars="129" w:firstLine="284"/>
        <w:rPr>
          <w:sz w:val="22"/>
        </w:rPr>
      </w:pPr>
      <w:r>
        <w:rPr>
          <w:rFonts w:hint="eastAsia"/>
          <w:sz w:val="22"/>
        </w:rPr>
        <w:t xml:space="preserve">In the liaison note, </w:t>
      </w:r>
      <w:r w:rsidR="008D4CCE">
        <w:rPr>
          <w:rFonts w:hint="eastAsia"/>
          <w:sz w:val="22"/>
        </w:rPr>
        <w:t>IEC WG15 is of the opinion that high power level setting for Class-B</w:t>
      </w:r>
      <w:r w:rsidR="008D4CCE">
        <w:rPr>
          <w:sz w:val="22"/>
        </w:rPr>
        <w:t>”</w:t>
      </w:r>
      <w:r w:rsidR="008D4CCE">
        <w:rPr>
          <w:rFonts w:hint="eastAsia"/>
          <w:sz w:val="22"/>
        </w:rPr>
        <w:t>SO</w:t>
      </w:r>
      <w:r w:rsidR="008D4CCE">
        <w:rPr>
          <w:sz w:val="22"/>
        </w:rPr>
        <w:t>”</w:t>
      </w:r>
      <w:r w:rsidR="008D4CCE">
        <w:rPr>
          <w:rFonts w:hint="eastAsia"/>
          <w:sz w:val="22"/>
        </w:rPr>
        <w:t xml:space="preserve"> should be lower than 12,5W because of the following</w:t>
      </w:r>
      <w:r>
        <w:rPr>
          <w:rFonts w:hint="eastAsia"/>
          <w:sz w:val="22"/>
        </w:rPr>
        <w:t xml:space="preserve"> reason</w:t>
      </w:r>
      <w:r w:rsidR="008D4CCE">
        <w:rPr>
          <w:rFonts w:hint="eastAsia"/>
          <w:sz w:val="22"/>
        </w:rPr>
        <w:t>s:</w:t>
      </w:r>
    </w:p>
    <w:p w:rsidR="008D4CCE" w:rsidRPr="008D4CCE" w:rsidRDefault="008D4CCE" w:rsidP="008D4CCE">
      <w:pPr>
        <w:pStyle w:val="ListParagraph"/>
        <w:numPr>
          <w:ilvl w:val="0"/>
          <w:numId w:val="5"/>
        </w:numPr>
        <w:ind w:leftChars="0" w:left="709" w:hanging="283"/>
        <w:rPr>
          <w:sz w:val="22"/>
        </w:rPr>
      </w:pPr>
      <w:r w:rsidRPr="008D4CCE">
        <w:rPr>
          <w:sz w:val="22"/>
        </w:rPr>
        <w:t>Class</w:t>
      </w:r>
      <w:r>
        <w:rPr>
          <w:rFonts w:hint="eastAsia"/>
          <w:sz w:val="22"/>
        </w:rPr>
        <w:t>-</w:t>
      </w:r>
      <w:r w:rsidRPr="008D4CCE">
        <w:rPr>
          <w:sz w:val="22"/>
        </w:rPr>
        <w:t>B is intended to be a low-cost system for use mainly on pleasure and small vessels.</w:t>
      </w:r>
    </w:p>
    <w:p w:rsidR="008D4CCE" w:rsidRPr="008D4CCE" w:rsidRDefault="008D4CCE" w:rsidP="008D4CCE">
      <w:pPr>
        <w:pStyle w:val="ListParagraph"/>
        <w:numPr>
          <w:ilvl w:val="0"/>
          <w:numId w:val="5"/>
        </w:numPr>
        <w:ind w:leftChars="0" w:left="709" w:hanging="283"/>
        <w:rPr>
          <w:sz w:val="22"/>
        </w:rPr>
      </w:pPr>
      <w:r w:rsidRPr="008D4CCE">
        <w:rPr>
          <w:sz w:val="22"/>
        </w:rPr>
        <w:t>A high power setting of 2 W provides sufficient range and will provide compatibility with existing Class B</w:t>
      </w:r>
      <w:r>
        <w:rPr>
          <w:sz w:val="22"/>
        </w:rPr>
        <w:t>”</w:t>
      </w:r>
      <w:r w:rsidRPr="008D4CCE">
        <w:rPr>
          <w:sz w:val="22"/>
        </w:rPr>
        <w:t>CS</w:t>
      </w:r>
      <w:r>
        <w:rPr>
          <w:sz w:val="22"/>
        </w:rPr>
        <w:t>”</w:t>
      </w:r>
      <w:r w:rsidR="00F53A79">
        <w:rPr>
          <w:sz w:val="22"/>
        </w:rPr>
        <w:t xml:space="preserve"> designs.</w:t>
      </w:r>
    </w:p>
    <w:p w:rsidR="008D4CCE" w:rsidRPr="008D4CCE" w:rsidRDefault="008D4CCE" w:rsidP="008D4CCE">
      <w:pPr>
        <w:pStyle w:val="ListParagraph"/>
        <w:numPr>
          <w:ilvl w:val="0"/>
          <w:numId w:val="5"/>
        </w:numPr>
        <w:ind w:leftChars="0" w:left="709" w:hanging="283"/>
        <w:rPr>
          <w:sz w:val="22"/>
        </w:rPr>
      </w:pPr>
      <w:r w:rsidRPr="008D4CCE">
        <w:rPr>
          <w:sz w:val="22"/>
        </w:rPr>
        <w:t>Power settings above 2 W will result in a more expensive product.</w:t>
      </w:r>
    </w:p>
    <w:p w:rsidR="008D4CCE" w:rsidRPr="008D4CCE" w:rsidRDefault="008D4CCE" w:rsidP="008D4CCE">
      <w:pPr>
        <w:pStyle w:val="ListParagraph"/>
        <w:numPr>
          <w:ilvl w:val="0"/>
          <w:numId w:val="5"/>
        </w:numPr>
        <w:ind w:leftChars="0" w:left="709" w:hanging="283"/>
        <w:rPr>
          <w:sz w:val="22"/>
        </w:rPr>
      </w:pPr>
      <w:r w:rsidRPr="008D4CCE">
        <w:rPr>
          <w:sz w:val="22"/>
        </w:rPr>
        <w:t>12</w:t>
      </w:r>
      <w:proofErr w:type="gramStart"/>
      <w:r w:rsidRPr="008D4CCE">
        <w:rPr>
          <w:sz w:val="22"/>
        </w:rPr>
        <w:t>,5</w:t>
      </w:r>
      <w:proofErr w:type="gramEnd"/>
      <w:r w:rsidRPr="008D4CCE">
        <w:rPr>
          <w:sz w:val="22"/>
        </w:rPr>
        <w:t xml:space="preserve"> W increases the blocking problem when vessels are in close proximity which is more likely with small vessels.</w:t>
      </w:r>
    </w:p>
    <w:p w:rsidR="008D4CCE" w:rsidRPr="008D4CCE" w:rsidRDefault="008D4CCE" w:rsidP="00F53A79">
      <w:pPr>
        <w:pStyle w:val="ListParagraph"/>
        <w:numPr>
          <w:ilvl w:val="0"/>
          <w:numId w:val="5"/>
        </w:numPr>
        <w:spacing w:afterLines="50" w:after="180"/>
        <w:ind w:leftChars="0" w:left="709" w:hanging="284"/>
        <w:rPr>
          <w:sz w:val="22"/>
        </w:rPr>
      </w:pPr>
      <w:r w:rsidRPr="008D4CCE">
        <w:rPr>
          <w:sz w:val="22"/>
        </w:rPr>
        <w:t>12</w:t>
      </w:r>
      <w:proofErr w:type="gramStart"/>
      <w:r w:rsidRPr="008D4CCE">
        <w:rPr>
          <w:sz w:val="22"/>
        </w:rPr>
        <w:t>,5</w:t>
      </w:r>
      <w:proofErr w:type="gramEnd"/>
      <w:r w:rsidRPr="008D4CCE">
        <w:rPr>
          <w:sz w:val="22"/>
        </w:rPr>
        <w:t xml:space="preserve"> W increases the possibility of negative impact to the VDL when Class B population increases in the future.</w:t>
      </w:r>
    </w:p>
    <w:p w:rsidR="0036288D" w:rsidRDefault="0036288D" w:rsidP="0036288D">
      <w:pPr>
        <w:spacing w:afterLines="50" w:after="180"/>
        <w:ind w:firstLineChars="129" w:firstLine="284"/>
        <w:rPr>
          <w:sz w:val="22"/>
        </w:rPr>
      </w:pPr>
      <w:r>
        <w:rPr>
          <w:rFonts w:hint="eastAsia"/>
          <w:sz w:val="22"/>
        </w:rPr>
        <w:t>AIS TWG decided</w:t>
      </w:r>
      <w:r w:rsidR="00853F6D">
        <w:rPr>
          <w:rFonts w:hint="eastAsia"/>
          <w:sz w:val="22"/>
        </w:rPr>
        <w:t xml:space="preserve">, at the Melbourne meeting, </w:t>
      </w:r>
      <w:r>
        <w:rPr>
          <w:rFonts w:hint="eastAsia"/>
          <w:sz w:val="22"/>
        </w:rPr>
        <w:t xml:space="preserve">to evaluate the blocking levels </w:t>
      </w:r>
      <w:r>
        <w:rPr>
          <w:sz w:val="22"/>
        </w:rPr>
        <w:t>theoretical</w:t>
      </w:r>
      <w:r>
        <w:rPr>
          <w:rFonts w:hint="eastAsia"/>
          <w:sz w:val="22"/>
        </w:rPr>
        <w:t>ly using several parameters such as output power level, antenna height, and distance between Class-B</w:t>
      </w:r>
      <w:r>
        <w:rPr>
          <w:sz w:val="22"/>
        </w:rPr>
        <w:t>”</w:t>
      </w:r>
      <w:r>
        <w:rPr>
          <w:rFonts w:hint="eastAsia"/>
          <w:sz w:val="22"/>
        </w:rPr>
        <w:t>SO</w:t>
      </w:r>
      <w:r>
        <w:rPr>
          <w:sz w:val="22"/>
        </w:rPr>
        <w:t>”</w:t>
      </w:r>
      <w:r>
        <w:rPr>
          <w:rFonts w:hint="eastAsia"/>
          <w:sz w:val="22"/>
        </w:rPr>
        <w:t xml:space="preserve"> ships, and to discuss </w:t>
      </w:r>
      <w:r w:rsidR="00853F6D">
        <w:rPr>
          <w:rFonts w:hint="eastAsia"/>
          <w:sz w:val="22"/>
        </w:rPr>
        <w:t xml:space="preserve">this issue </w:t>
      </w:r>
      <w:r>
        <w:rPr>
          <w:rFonts w:hint="eastAsia"/>
          <w:sz w:val="22"/>
        </w:rPr>
        <w:t>again at the e-Nav 9 meeting.</w:t>
      </w:r>
    </w:p>
    <w:p w:rsidR="0036288D" w:rsidRDefault="0036288D" w:rsidP="0036288D">
      <w:pPr>
        <w:spacing w:afterLines="50" w:after="180"/>
        <w:ind w:firstLineChars="129" w:firstLine="284"/>
        <w:rPr>
          <w:sz w:val="22"/>
        </w:rPr>
      </w:pPr>
      <w:r>
        <w:rPr>
          <w:rFonts w:hint="eastAsia"/>
          <w:sz w:val="22"/>
        </w:rPr>
        <w:t>This document provides the evaluation results.</w:t>
      </w:r>
    </w:p>
    <w:p w:rsidR="00906300" w:rsidRPr="00853F6D" w:rsidRDefault="00906300" w:rsidP="0036288D">
      <w:pPr>
        <w:spacing w:afterLines="50" w:after="180"/>
        <w:ind w:firstLineChars="129" w:firstLine="284"/>
        <w:rPr>
          <w:sz w:val="22"/>
        </w:rPr>
      </w:pPr>
    </w:p>
    <w:p w:rsidR="00EE123D" w:rsidRPr="00104A0F" w:rsidRDefault="00F53A79" w:rsidP="005D7A9D">
      <w:pPr>
        <w:pStyle w:val="Heading1"/>
        <w:numPr>
          <w:ilvl w:val="0"/>
          <w:numId w:val="1"/>
        </w:numPr>
        <w:rPr>
          <w:b/>
        </w:rPr>
      </w:pPr>
      <w:r w:rsidRPr="00104A0F">
        <w:rPr>
          <w:rFonts w:hint="eastAsia"/>
          <w:b/>
        </w:rPr>
        <w:t>Prerequisite</w:t>
      </w:r>
    </w:p>
    <w:p w:rsidR="00A172A4" w:rsidRDefault="00104A0F" w:rsidP="009648D8">
      <w:pPr>
        <w:spacing w:afterLines="50" w:after="180"/>
        <w:ind w:firstLineChars="129" w:firstLine="284"/>
        <w:rPr>
          <w:sz w:val="22"/>
        </w:rPr>
      </w:pPr>
      <w:r>
        <w:rPr>
          <w:rFonts w:hint="eastAsia"/>
          <w:sz w:val="22"/>
        </w:rPr>
        <w:t xml:space="preserve">Section 2.1.1.2, Annex 1 </w:t>
      </w:r>
      <w:r w:rsidR="00853F6D">
        <w:rPr>
          <w:rFonts w:hint="eastAsia"/>
          <w:sz w:val="22"/>
        </w:rPr>
        <w:t>in</w:t>
      </w:r>
      <w:r>
        <w:rPr>
          <w:rFonts w:hint="eastAsia"/>
          <w:sz w:val="22"/>
        </w:rPr>
        <w:t xml:space="preserve"> </w:t>
      </w:r>
      <w:r w:rsidR="00F53A79">
        <w:rPr>
          <w:rFonts w:hint="eastAsia"/>
          <w:sz w:val="22"/>
        </w:rPr>
        <w:t xml:space="preserve">M.1371-4 specifies that Annex 2 </w:t>
      </w:r>
      <w:r w:rsidR="00A35C12">
        <w:rPr>
          <w:rFonts w:hint="eastAsia"/>
          <w:sz w:val="22"/>
        </w:rPr>
        <w:t xml:space="preserve">is applied to </w:t>
      </w:r>
      <w:r w:rsidR="00740A31">
        <w:rPr>
          <w:rFonts w:hint="eastAsia"/>
          <w:sz w:val="22"/>
        </w:rPr>
        <w:t xml:space="preserve">the </w:t>
      </w:r>
      <w:r w:rsidR="00A35C12">
        <w:rPr>
          <w:rFonts w:hint="eastAsia"/>
          <w:sz w:val="22"/>
        </w:rPr>
        <w:t>Class-B</w:t>
      </w:r>
      <w:r w:rsidR="00A35C12">
        <w:rPr>
          <w:sz w:val="22"/>
        </w:rPr>
        <w:t>”</w:t>
      </w:r>
      <w:r w:rsidR="00A35C12">
        <w:rPr>
          <w:rFonts w:hint="eastAsia"/>
          <w:sz w:val="22"/>
        </w:rPr>
        <w:t>SO</w:t>
      </w:r>
      <w:r w:rsidR="00A35C12">
        <w:rPr>
          <w:sz w:val="22"/>
        </w:rPr>
        <w:t>”</w:t>
      </w:r>
      <w:r w:rsidR="00A35C12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and </w:t>
      </w:r>
      <w:r w:rsidR="00F53A79">
        <w:rPr>
          <w:rFonts w:hint="eastAsia"/>
          <w:sz w:val="22"/>
        </w:rPr>
        <w:t xml:space="preserve">Annex 7 is applied to the </w:t>
      </w:r>
      <w:r>
        <w:rPr>
          <w:rFonts w:hint="eastAsia"/>
          <w:sz w:val="22"/>
        </w:rPr>
        <w:t>Class-B</w:t>
      </w:r>
      <w:r>
        <w:rPr>
          <w:sz w:val="22"/>
        </w:rPr>
        <w:t>”</w:t>
      </w:r>
      <w:r>
        <w:rPr>
          <w:rFonts w:hint="eastAsia"/>
          <w:sz w:val="22"/>
        </w:rPr>
        <w:t>CS</w:t>
      </w:r>
      <w:r>
        <w:rPr>
          <w:sz w:val="22"/>
        </w:rPr>
        <w:t>”</w:t>
      </w:r>
      <w:r w:rsidR="00A35C12">
        <w:rPr>
          <w:rFonts w:hint="eastAsia"/>
          <w:sz w:val="22"/>
        </w:rPr>
        <w:t xml:space="preserve">; however due to the low-cost </w:t>
      </w:r>
      <w:r w:rsidR="00A35C12">
        <w:rPr>
          <w:sz w:val="22"/>
        </w:rPr>
        <w:t>system</w:t>
      </w:r>
      <w:r w:rsidR="00A35C12">
        <w:rPr>
          <w:rFonts w:hint="eastAsia"/>
          <w:sz w:val="22"/>
        </w:rPr>
        <w:t xml:space="preserve"> of the Class-B</w:t>
      </w:r>
      <w:r w:rsidR="00A35C12">
        <w:rPr>
          <w:sz w:val="22"/>
        </w:rPr>
        <w:t>”</w:t>
      </w:r>
      <w:r w:rsidR="00A35C12">
        <w:rPr>
          <w:rFonts w:hint="eastAsia"/>
          <w:sz w:val="22"/>
        </w:rPr>
        <w:t>SO</w:t>
      </w:r>
      <w:r w:rsidR="00A35C12">
        <w:rPr>
          <w:sz w:val="22"/>
        </w:rPr>
        <w:t>”</w:t>
      </w:r>
      <w:r w:rsidR="00A35C12">
        <w:rPr>
          <w:rFonts w:hint="eastAsia"/>
          <w:sz w:val="22"/>
        </w:rPr>
        <w:t xml:space="preserve">, the receiver characteristics should </w:t>
      </w:r>
      <w:r w:rsidR="007F52CF">
        <w:rPr>
          <w:rFonts w:hint="eastAsia"/>
          <w:sz w:val="22"/>
        </w:rPr>
        <w:t xml:space="preserve">conform to </w:t>
      </w:r>
      <w:r w:rsidR="00A35C12">
        <w:rPr>
          <w:rFonts w:hint="eastAsia"/>
          <w:sz w:val="22"/>
        </w:rPr>
        <w:t>Annex 7</w:t>
      </w:r>
      <w:r w:rsidR="00853F6D">
        <w:rPr>
          <w:rFonts w:hint="eastAsia"/>
          <w:sz w:val="22"/>
        </w:rPr>
        <w:t xml:space="preserve"> (relaxed requirements)</w:t>
      </w:r>
      <w:r w:rsidR="00A35C12">
        <w:rPr>
          <w:rFonts w:hint="eastAsia"/>
          <w:sz w:val="22"/>
        </w:rPr>
        <w:t xml:space="preserve"> while transmitter </w:t>
      </w:r>
      <w:r w:rsidR="00853F6D">
        <w:rPr>
          <w:rFonts w:hint="eastAsia"/>
          <w:sz w:val="22"/>
        </w:rPr>
        <w:t xml:space="preserve">should </w:t>
      </w:r>
      <w:r w:rsidR="007F52CF">
        <w:rPr>
          <w:rFonts w:hint="eastAsia"/>
          <w:sz w:val="22"/>
        </w:rPr>
        <w:t xml:space="preserve">conforms to </w:t>
      </w:r>
      <w:r w:rsidR="00A35C12">
        <w:rPr>
          <w:rFonts w:hint="eastAsia"/>
          <w:sz w:val="22"/>
        </w:rPr>
        <w:t>Annex 2</w:t>
      </w:r>
      <w:r w:rsidR="007F52CF">
        <w:rPr>
          <w:rFonts w:hint="eastAsia"/>
          <w:sz w:val="22"/>
        </w:rPr>
        <w:t xml:space="preserve"> </w:t>
      </w:r>
      <w:r w:rsidR="00740A31">
        <w:rPr>
          <w:rFonts w:hint="eastAsia"/>
          <w:sz w:val="22"/>
        </w:rPr>
        <w:t>to</w:t>
      </w:r>
      <w:r w:rsidR="007F52CF">
        <w:rPr>
          <w:rFonts w:hint="eastAsia"/>
          <w:sz w:val="22"/>
        </w:rPr>
        <w:t xml:space="preserve"> maintain</w:t>
      </w:r>
      <w:r w:rsidR="00740A31">
        <w:rPr>
          <w:rFonts w:hint="eastAsia"/>
          <w:sz w:val="22"/>
        </w:rPr>
        <w:t xml:space="preserve"> </w:t>
      </w:r>
      <w:r w:rsidR="007F52CF">
        <w:rPr>
          <w:rFonts w:hint="eastAsia"/>
          <w:sz w:val="22"/>
        </w:rPr>
        <w:t>a high level of VDL protection</w:t>
      </w:r>
      <w:r w:rsidR="00A35C12">
        <w:rPr>
          <w:rFonts w:hint="eastAsia"/>
          <w:sz w:val="22"/>
        </w:rPr>
        <w:t xml:space="preserve">. This is also </w:t>
      </w:r>
      <w:r w:rsidR="007F52CF">
        <w:rPr>
          <w:rFonts w:hint="eastAsia"/>
          <w:sz w:val="22"/>
        </w:rPr>
        <w:t xml:space="preserve">supported by IEC WG15 in </w:t>
      </w:r>
      <w:r w:rsidR="00853F6D">
        <w:rPr>
          <w:rFonts w:hint="eastAsia"/>
          <w:sz w:val="22"/>
        </w:rPr>
        <w:t xml:space="preserve">the </w:t>
      </w:r>
      <w:r w:rsidR="007F52CF">
        <w:rPr>
          <w:rFonts w:hint="eastAsia"/>
          <w:sz w:val="22"/>
        </w:rPr>
        <w:t xml:space="preserve">liaison </w:t>
      </w:r>
      <w:r w:rsidR="007F52CF">
        <w:rPr>
          <w:rFonts w:hint="eastAsia"/>
          <w:sz w:val="22"/>
        </w:rPr>
        <w:lastRenderedPageBreak/>
        <w:t>note.</w:t>
      </w:r>
    </w:p>
    <w:p w:rsidR="007F52CF" w:rsidRDefault="007F52CF" w:rsidP="009648D8">
      <w:pPr>
        <w:spacing w:afterLines="50" w:after="180"/>
        <w:ind w:firstLineChars="129" w:firstLine="284"/>
        <w:rPr>
          <w:sz w:val="22"/>
        </w:rPr>
      </w:pPr>
      <w:r>
        <w:rPr>
          <w:rFonts w:hint="eastAsia"/>
          <w:sz w:val="22"/>
        </w:rPr>
        <w:t xml:space="preserve">Therefore, the blocking level consideration </w:t>
      </w:r>
      <w:r w:rsidR="00740A31">
        <w:rPr>
          <w:rFonts w:hint="eastAsia"/>
          <w:sz w:val="22"/>
        </w:rPr>
        <w:t xml:space="preserve">below </w:t>
      </w:r>
      <w:r>
        <w:rPr>
          <w:rFonts w:hint="eastAsia"/>
          <w:sz w:val="22"/>
        </w:rPr>
        <w:t xml:space="preserve">use the specified value in </w:t>
      </w:r>
      <w:r w:rsidR="00740A31">
        <w:rPr>
          <w:rFonts w:hint="eastAsia"/>
          <w:sz w:val="22"/>
        </w:rPr>
        <w:t xml:space="preserve">Table 33, </w:t>
      </w:r>
      <w:r>
        <w:rPr>
          <w:rFonts w:hint="eastAsia"/>
          <w:sz w:val="22"/>
        </w:rPr>
        <w:t xml:space="preserve">Annex 7 </w:t>
      </w:r>
      <w:r w:rsidR="009A6015">
        <w:rPr>
          <w:rFonts w:hint="eastAsia"/>
          <w:sz w:val="22"/>
        </w:rPr>
        <w:t>in</w:t>
      </w:r>
      <w:r>
        <w:rPr>
          <w:rFonts w:hint="eastAsia"/>
          <w:sz w:val="22"/>
        </w:rPr>
        <w:t xml:space="preserve"> M.1371-4 </w:t>
      </w:r>
    </w:p>
    <w:p w:rsidR="00EE123D" w:rsidRPr="009A6015" w:rsidRDefault="00EE123D" w:rsidP="009648D8">
      <w:pPr>
        <w:spacing w:afterLines="50" w:after="180"/>
        <w:ind w:firstLineChars="129" w:firstLine="284"/>
        <w:rPr>
          <w:sz w:val="22"/>
        </w:rPr>
      </w:pPr>
    </w:p>
    <w:p w:rsidR="00EE123D" w:rsidRPr="00104A0F" w:rsidRDefault="007F52CF" w:rsidP="005D7A9D">
      <w:pPr>
        <w:pStyle w:val="Heading1"/>
        <w:numPr>
          <w:ilvl w:val="0"/>
          <w:numId w:val="1"/>
        </w:numPr>
        <w:rPr>
          <w:b/>
        </w:rPr>
      </w:pPr>
      <w:r>
        <w:rPr>
          <w:rFonts w:hint="eastAsia"/>
          <w:b/>
        </w:rPr>
        <w:t>Blocking c</w:t>
      </w:r>
      <w:r w:rsidR="00906300">
        <w:rPr>
          <w:rFonts w:hint="eastAsia"/>
          <w:b/>
        </w:rPr>
        <w:t>onsiderations</w:t>
      </w:r>
    </w:p>
    <w:p w:rsidR="00AE10E4" w:rsidRDefault="000B4D81" w:rsidP="009648D8">
      <w:pPr>
        <w:spacing w:afterLines="50" w:after="180"/>
        <w:ind w:firstLineChars="129" w:firstLine="284"/>
        <w:rPr>
          <w:sz w:val="22"/>
        </w:rPr>
      </w:pPr>
      <w:r>
        <w:rPr>
          <w:rFonts w:hint="eastAsia"/>
          <w:sz w:val="22"/>
        </w:rPr>
        <w:t xml:space="preserve">To consider the high power level setting </w:t>
      </w:r>
      <w:r w:rsidR="009A6015">
        <w:rPr>
          <w:rFonts w:hint="eastAsia"/>
          <w:sz w:val="22"/>
        </w:rPr>
        <w:t>for</w:t>
      </w:r>
      <w:r>
        <w:rPr>
          <w:rFonts w:hint="eastAsia"/>
          <w:sz w:val="22"/>
        </w:rPr>
        <w:t xml:space="preserve"> Class-B</w:t>
      </w:r>
      <w:r>
        <w:rPr>
          <w:sz w:val="22"/>
        </w:rPr>
        <w:t>”</w:t>
      </w:r>
      <w:r>
        <w:rPr>
          <w:rFonts w:hint="eastAsia"/>
          <w:sz w:val="22"/>
        </w:rPr>
        <w:t>SO</w:t>
      </w:r>
      <w:r>
        <w:rPr>
          <w:sz w:val="22"/>
        </w:rPr>
        <w:t>”</w:t>
      </w:r>
      <w:r>
        <w:rPr>
          <w:rFonts w:hint="eastAsia"/>
          <w:sz w:val="22"/>
        </w:rPr>
        <w:t>, a model case described in Figure 1 applies.  In Figure 1, the ship-A and ship-B are the Class-B</w:t>
      </w:r>
      <w:r>
        <w:rPr>
          <w:sz w:val="22"/>
        </w:rPr>
        <w:t>”</w:t>
      </w:r>
      <w:r>
        <w:rPr>
          <w:rFonts w:hint="eastAsia"/>
          <w:sz w:val="22"/>
        </w:rPr>
        <w:t>SO</w:t>
      </w:r>
      <w:r>
        <w:rPr>
          <w:sz w:val="22"/>
        </w:rPr>
        <w:t>”</w:t>
      </w:r>
      <w:r>
        <w:rPr>
          <w:rFonts w:hint="eastAsia"/>
          <w:sz w:val="22"/>
        </w:rPr>
        <w:t xml:space="preserve"> </w:t>
      </w:r>
      <w:r w:rsidR="00AE10E4">
        <w:rPr>
          <w:rFonts w:hint="eastAsia"/>
          <w:sz w:val="22"/>
        </w:rPr>
        <w:t xml:space="preserve">equipped </w:t>
      </w:r>
      <w:r>
        <w:rPr>
          <w:rFonts w:hint="eastAsia"/>
          <w:sz w:val="22"/>
        </w:rPr>
        <w:t xml:space="preserve">ships and will come close to </w:t>
      </w:r>
      <w:r w:rsidR="00AE10E4">
        <w:rPr>
          <w:rFonts w:hint="eastAsia"/>
          <w:sz w:val="22"/>
        </w:rPr>
        <w:t xml:space="preserve">the distance </w:t>
      </w:r>
      <w:r>
        <w:rPr>
          <w:rFonts w:hint="eastAsia"/>
          <w:sz w:val="22"/>
        </w:rPr>
        <w:t xml:space="preserve">D (NM). The ship-C is </w:t>
      </w:r>
      <w:r w:rsidR="00AE10E4">
        <w:rPr>
          <w:rFonts w:hint="eastAsia"/>
          <w:sz w:val="22"/>
        </w:rPr>
        <w:t xml:space="preserve">any kind of </w:t>
      </w:r>
      <w:r>
        <w:rPr>
          <w:rFonts w:hint="eastAsia"/>
          <w:sz w:val="22"/>
        </w:rPr>
        <w:t>AIS</w:t>
      </w:r>
      <w:r w:rsidR="00AE10E4">
        <w:rPr>
          <w:rFonts w:hint="eastAsia"/>
          <w:sz w:val="22"/>
        </w:rPr>
        <w:t xml:space="preserve"> equipped </w:t>
      </w:r>
      <w:r w:rsidR="00AE10E4">
        <w:rPr>
          <w:sz w:val="22"/>
        </w:rPr>
        <w:t>ship</w:t>
      </w:r>
      <w:r w:rsidR="00AE10E4">
        <w:rPr>
          <w:rFonts w:hint="eastAsia"/>
          <w:sz w:val="22"/>
        </w:rPr>
        <w:t>, and is located in distance L (NM). The Ship-A receives the weak signals from the Ship-C and this signal reception may be interfered by a strong signal from the S</w:t>
      </w:r>
      <w:r w:rsidR="00AE10E4">
        <w:rPr>
          <w:sz w:val="22"/>
        </w:rPr>
        <w:t>h</w:t>
      </w:r>
      <w:r w:rsidR="00AE10E4">
        <w:rPr>
          <w:rFonts w:hint="eastAsia"/>
          <w:sz w:val="22"/>
        </w:rPr>
        <w:t>ip-B.</w:t>
      </w:r>
    </w:p>
    <w:p w:rsidR="00AE10E4" w:rsidRDefault="00AE10E4" w:rsidP="00982B44">
      <w:pPr>
        <w:spacing w:afterLines="50" w:after="180"/>
        <w:ind w:firstLineChars="129" w:firstLine="271"/>
        <w:rPr>
          <w:sz w:val="22"/>
        </w:rPr>
      </w:pPr>
      <w:r>
        <w:rPr>
          <w:noProof/>
          <w:lang w:val="en-GB" w:eastAsia="en-GB"/>
        </w:rPr>
        <mc:AlternateContent>
          <mc:Choice Requires="wpc">
            <w:drawing>
              <wp:inline distT="0" distB="0" distL="0" distR="0" wp14:anchorId="66368E4F" wp14:editId="55FE499C">
                <wp:extent cx="5398936" cy="2703444"/>
                <wp:effectExtent l="0" t="0" r="0" b="0"/>
                <wp:docPr id="5" name="キャンバ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>
                        <a:ln>
                          <a:noFill/>
                        </a:ln>
                      </wpc:whole>
                      <wpg:wgp>
                        <wpg:cNvPr id="14" name="グループ化 14"/>
                        <wpg:cNvGrpSpPr/>
                        <wpg:grpSpPr>
                          <a:xfrm>
                            <a:off x="461170" y="223689"/>
                            <a:ext cx="4752327" cy="2366711"/>
                            <a:chOff x="461170" y="223689"/>
                            <a:chExt cx="4752327" cy="2366711"/>
                          </a:xfrm>
                        </wpg:grpSpPr>
                        <wps:wsp>
                          <wps:cNvPr id="10" name="テキスト ボックス 10"/>
                          <wps:cNvSpPr txBox="1"/>
                          <wps:spPr>
                            <a:xfrm>
                              <a:off x="1287900" y="1407011"/>
                              <a:ext cx="795007" cy="27034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E10E4" w:rsidRPr="00AB685A" w:rsidRDefault="00AE10E4" w:rsidP="00AE10E4">
                                <w:pPr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 w:rsidRPr="00AB685A">
                                  <w:rPr>
                                    <w:rFonts w:ascii="Times New Roman" w:hAnsi="Times New Roman" w:cs="Times New Roman" w:hint="eastAsia"/>
                                  </w:rPr>
                                  <w:t>D (NM)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" name="テキスト ボックス 71"/>
                          <wps:cNvSpPr txBox="1"/>
                          <wps:spPr>
                            <a:xfrm rot="19973190">
                              <a:off x="2878103" y="743983"/>
                              <a:ext cx="795007" cy="27034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E10E4" w:rsidRPr="00AB685A" w:rsidRDefault="00AE10E4" w:rsidP="00AE10E4">
                                <w:pPr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</w:rPr>
                                  <w:t>L</w:t>
                                </w:r>
                                <w:r w:rsidRPr="00AB685A">
                                  <w:rPr>
                                    <w:rFonts w:ascii="Times New Roman" w:hAnsi="Times New Roman" w:cs="Times New Roman" w:hint="eastAsia"/>
                                  </w:rPr>
                                  <w:t xml:space="preserve"> (NM)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" name="テキスト ボックス 72"/>
                          <wps:cNvSpPr txBox="1"/>
                          <wps:spPr>
                            <a:xfrm>
                              <a:off x="1510749" y="1740427"/>
                              <a:ext cx="1150538" cy="46981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E10E4" w:rsidRDefault="00AE10E4" w:rsidP="00AE10E4">
                                <w:pPr>
                                  <w:snapToGrid w:val="0"/>
                                  <w:jc w:val="center"/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</w:rPr>
                                  <w:t>Ship-A</w:t>
                                </w:r>
                              </w:p>
                              <w:p w:rsidR="00AE10E4" w:rsidRPr="00AB685A" w:rsidRDefault="00AE10E4" w:rsidP="00AE10E4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</w:rPr>
                                  <w:t>(Class-B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</w:rPr>
                                  <w:t>”</w:t>
                                </w:r>
                                <w:r>
                                  <w:rPr>
                                    <w:rFonts w:ascii="Times New Roman" w:hAnsi="Times New Roman" w:cs="Times New Roman" w:hint="eastAsia"/>
                                  </w:rPr>
                                  <w:t>SO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</w:rPr>
                                  <w:t>”</w:t>
                                </w:r>
                                <w:r>
                                  <w:rPr>
                                    <w:rFonts w:ascii="Times New Roman" w:hAnsi="Times New Roman" w:cs="Times New Roman" w:hint="eastAsia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" name="テキスト ボックス 73"/>
                          <wps:cNvSpPr txBox="1"/>
                          <wps:spPr>
                            <a:xfrm>
                              <a:off x="461170" y="1676819"/>
                              <a:ext cx="1150538" cy="46981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E10E4" w:rsidRDefault="00AE10E4" w:rsidP="00AE10E4">
                                <w:pPr>
                                  <w:snapToGrid w:val="0"/>
                                  <w:jc w:val="center"/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</w:rPr>
                                  <w:t>Ship-B</w:t>
                                </w:r>
                              </w:p>
                              <w:p w:rsidR="00AE10E4" w:rsidRPr="00AB685A" w:rsidRDefault="00AE10E4" w:rsidP="00AE10E4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</w:rPr>
                                  <w:t>(Class-B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</w:rPr>
                                  <w:t>”</w:t>
                                </w:r>
                                <w:r>
                                  <w:rPr>
                                    <w:rFonts w:ascii="Times New Roman" w:hAnsi="Times New Roman" w:cs="Times New Roman" w:hint="eastAsia"/>
                                  </w:rPr>
                                  <w:t>SO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</w:rPr>
                                  <w:t>”</w:t>
                                </w:r>
                                <w:r>
                                  <w:rPr>
                                    <w:rFonts w:ascii="Times New Roman" w:hAnsi="Times New Roman" w:cs="Times New Roman" w:hint="eastAsia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" name="テキスト ボックス 74"/>
                          <wps:cNvSpPr txBox="1"/>
                          <wps:spPr>
                            <a:xfrm>
                              <a:off x="3832528" y="514138"/>
                              <a:ext cx="1380969" cy="46981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E10E4" w:rsidRDefault="00AE10E4" w:rsidP="00AE10E4">
                                <w:pPr>
                                  <w:snapToGrid w:val="0"/>
                                  <w:jc w:val="center"/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</w:rPr>
                                  <w:t>Ship-C</w:t>
                                </w:r>
                              </w:p>
                              <w:p w:rsidR="00AE10E4" w:rsidRPr="00AB685A" w:rsidRDefault="00AE10E4" w:rsidP="00AE10E4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</w:rPr>
                                  <w:t>(</w:t>
                                </w:r>
                                <w:proofErr w:type="gramStart"/>
                                <w:r>
                                  <w:rPr>
                                    <w:rFonts w:ascii="Times New Roman" w:hAnsi="Times New Roman" w:cs="Times New Roman" w:hint="eastAsia"/>
                                  </w:rPr>
                                  <w:t>any</w:t>
                                </w:r>
                                <w:proofErr w:type="gramEnd"/>
                                <w:r>
                                  <w:rPr>
                                    <w:rFonts w:ascii="Times New Roman" w:hAnsi="Times New Roman" w:cs="Times New Roman" w:hint="eastAsia"/>
                                  </w:rPr>
                                  <w:t xml:space="preserve"> kind of AIS.)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" name="テキスト ボックス 75"/>
                          <wps:cNvSpPr txBox="1"/>
                          <wps:spPr>
                            <a:xfrm>
                              <a:off x="885292" y="2271878"/>
                              <a:ext cx="3636035" cy="31852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E10E4" w:rsidRPr="009A6015" w:rsidRDefault="00AE10E4" w:rsidP="00AE10E4">
                                <w:pPr>
                                  <w:jc w:val="center"/>
                                  <w:rPr>
                                    <w:rFonts w:cs="Times New Roman"/>
                                    <w:b/>
                                    <w:sz w:val="22"/>
                                  </w:rPr>
                                </w:pPr>
                                <w:r w:rsidRPr="00CE4E9B">
                                  <w:rPr>
                                    <w:rFonts w:cs="Times New Roman"/>
                                    <w:b/>
                                    <w:sz w:val="22"/>
                                  </w:rPr>
                                  <w:t>Figure 1: Ship locations</w:t>
                                </w:r>
                                <w:r w:rsidRPr="009A6015">
                                  <w:rPr>
                                    <w:rFonts w:cs="Times New Roman"/>
                                    <w:b/>
                                    <w:sz w:val="22"/>
                                  </w:rPr>
                                  <w:t xml:space="preserve"> under consideration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ホームベース 11"/>
                          <wps:cNvSpPr/>
                          <wps:spPr>
                            <a:xfrm rot="5640985">
                              <a:off x="4436441" y="319298"/>
                              <a:ext cx="310488" cy="119270"/>
                            </a:xfrm>
                            <a:prstGeom prst="homePlate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8" name="ホームベース 78"/>
                          <wps:cNvSpPr/>
                          <wps:spPr>
                            <a:xfrm>
                              <a:off x="898142" y="1581384"/>
                              <a:ext cx="310488" cy="119270"/>
                            </a:xfrm>
                            <a:prstGeom prst="homePlate">
                              <a:avLst/>
                            </a:prstGeom>
                            <a:solidFill>
                              <a:schemeClr val="bg2">
                                <a:lumMod val="75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" name="ホームベース 79"/>
                          <wps:cNvSpPr/>
                          <wps:spPr>
                            <a:xfrm rot="16200000">
                              <a:off x="1867632" y="1542277"/>
                              <a:ext cx="310488" cy="119270"/>
                            </a:xfrm>
                            <a:prstGeom prst="homePlat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直線コネクタ 12"/>
                          <wps:cNvCnPr>
                            <a:stCxn id="79" idx="2"/>
                            <a:endCxn id="11" idx="2"/>
                          </wps:cNvCnPr>
                          <wps:spPr>
                            <a:xfrm flipV="1">
                              <a:off x="2082511" y="345012"/>
                              <a:ext cx="2451774" cy="1286717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直線コネクタ 13"/>
                          <wps:cNvCnPr>
                            <a:stCxn id="78" idx="3"/>
                          </wps:cNvCnPr>
                          <wps:spPr>
                            <a:xfrm>
                              <a:off x="1208630" y="1641019"/>
                              <a:ext cx="754611" cy="14563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キャンバス 5" o:spid="_x0000_s1026" editas="canvas" style="width:425.1pt;height:212.85pt;mso-position-horizontal-relative:char;mso-position-vertical-relative:line" coordsize="53987,27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3987;height:27031;visibility:visible;mso-wrap-style:square">
                  <v:fill o:detectmouseclick="t"/>
                  <v:path o:connecttype="none"/>
                </v:shape>
                <v:group id="グループ化 14" o:spid="_x0000_s1028" style="position:absolute;left:4611;top:2236;width:47523;height:23668" coordorigin="4611,2236" coordsize="47523,236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0" o:spid="_x0000_s1029" type="#_x0000_t202" style="position:absolute;left:12879;top:14070;width:7950;height:27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caj8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KGX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xqPxQAAANsAAAAPAAAAAAAAAAAAAAAAAJgCAABkcnMv&#10;ZG93bnJldi54bWxQSwUGAAAAAAQABAD1AAAAigMAAAAA&#10;" filled="f" stroked="f" strokeweight=".5pt">
                    <v:textbox>
                      <w:txbxContent>
                        <w:p w:rsidR="00AE10E4" w:rsidRPr="00AB685A" w:rsidRDefault="00AE10E4" w:rsidP="00AE10E4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  <w:r w:rsidRPr="00AB685A">
                            <w:rPr>
                              <w:rFonts w:ascii="Times New Roman" w:hAnsi="Times New Roman" w:cs="Times New Roman" w:hint="eastAsia"/>
                            </w:rPr>
                            <w:t>D (NM)</w:t>
                          </w:r>
                        </w:p>
                      </w:txbxContent>
                    </v:textbox>
                  </v:shape>
                  <v:shape id="テキスト ボックス 71" o:spid="_x0000_s1030" type="#_x0000_t202" style="position:absolute;left:28781;top:7439;width:7950;height:2704;rotation:-177691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nZzsUA&#10;AADbAAAADwAAAGRycy9kb3ducmV2LnhtbESPQWvCQBSE70L/w/IK3nQTBZXUVaxiEPHQaKH09si+&#10;Jmmzb0N21fjvXUHocZiZb5j5sjO1uFDrKssK4mEEgji3uuJCwedpO5iBcB5ZY22ZFNzIwXLx0ptj&#10;ou2VM7ocfSEChF2CCkrvm0RKl5dk0A1tQxy8H9sa9EG2hdQtXgPc1HIURRNpsOKwUGJD65Lyv+PZ&#10;KEhT//U92/8ebplO4/Hm9JHp95VS/ddu9QbCU+f/w8/2TiuYxvD4En6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mdnOxQAAANsAAAAPAAAAAAAAAAAAAAAAAJgCAABkcnMv&#10;ZG93bnJldi54bWxQSwUGAAAAAAQABAD1AAAAigMAAAAA&#10;" filled="f" stroked="f" strokeweight=".5pt">
                    <v:textbox>
                      <w:txbxContent>
                        <w:p w:rsidR="00AE10E4" w:rsidRPr="00AB685A" w:rsidRDefault="00AE10E4" w:rsidP="00AE10E4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</w:rPr>
                            <w:t>L</w:t>
                          </w:r>
                          <w:r w:rsidRPr="00AB685A">
                            <w:rPr>
                              <w:rFonts w:ascii="Times New Roman" w:hAnsi="Times New Roman" w:cs="Times New Roman" w:hint="eastAsia"/>
                            </w:rPr>
                            <w:t xml:space="preserve"> (NM)</w:t>
                          </w:r>
                        </w:p>
                      </w:txbxContent>
                    </v:textbox>
                  </v:shape>
                  <v:shape id="テキスト ボックス 72" o:spid="_x0000_s1031" type="#_x0000_t202" style="position:absolute;left:15107;top:17404;width:11505;height:46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bEw8UA&#10;AADbAAAADwAAAGRycy9kb3ducmV2LnhtbESPS4vCQBCE7wv7H4Ze8LZODPgg6ygSkBXRg4+Lt95M&#10;mwQzPdnMqNFf7wiCx6KqvqLG09ZU4kKNKy0r6HUjEMSZ1SXnCva7+fcIhPPIGivLpOBGDqaTz48x&#10;JtpeeUOXrc9FgLBLUEHhfZ1I6bKCDLqurYmDd7SNQR9kk0vd4DXATSXjKBpIgyWHhQJrSgvKTtuz&#10;UbBM52vc/MVmdK/S39VxVv/vD32lOl/t7AeEp9a/w6/2QisYxvD8En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VsTDxQAAANsAAAAPAAAAAAAAAAAAAAAAAJgCAABkcnMv&#10;ZG93bnJldi54bWxQSwUGAAAAAAQABAD1AAAAigMAAAAA&#10;" filled="f" stroked="f" strokeweight=".5pt">
                    <v:textbox>
                      <w:txbxContent>
                        <w:p w:rsidR="00AE10E4" w:rsidRDefault="00AE10E4" w:rsidP="00AE10E4">
                          <w:pPr>
                            <w:snapToGrid w:val="0"/>
                            <w:jc w:val="center"/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</w:rPr>
                            <w:t>Ship-A</w:t>
                          </w:r>
                        </w:p>
                        <w:p w:rsidR="00AE10E4" w:rsidRPr="00AB685A" w:rsidRDefault="00AE10E4" w:rsidP="00AE10E4">
                          <w:pPr>
                            <w:jc w:val="center"/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</w:rPr>
                            <w:t>(Class-B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t>”</w:t>
                          </w:r>
                          <w:r>
                            <w:rPr>
                              <w:rFonts w:ascii="Times New Roman" w:hAnsi="Times New Roman" w:cs="Times New Roman" w:hint="eastAsia"/>
                            </w:rPr>
                            <w:t>SO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t>”</w:t>
                          </w:r>
                          <w:r>
                            <w:rPr>
                              <w:rFonts w:ascii="Times New Roman" w:hAnsi="Times New Roman" w:cs="Times New Roman" w:hint="eastAsia"/>
                            </w:rPr>
                            <w:t>)</w:t>
                          </w:r>
                        </w:p>
                      </w:txbxContent>
                    </v:textbox>
                  </v:shape>
                  <v:shape id="テキスト ボックス 73" o:spid="_x0000_s1032" type="#_x0000_t202" style="position:absolute;left:4611;top:16768;width:11506;height:46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phWMUA&#10;AADbAAAADwAAAGRycy9kb3ducmV2LnhtbESPT4vCMBTE7wt+h/AEb2uqi6tUo0hBVsQ9+Ofi7dk8&#10;22LzUpuo1U+/WRA8DjPzG2Yya0wpblS7wrKCXjcCQZxaXXCmYL9bfI5AOI+ssbRMCh7kYDZtfUww&#10;1vbOG7ptfSYChF2MCnLvq1hKl+Zk0HVtRRy8k60N+iDrTOoa7wFuStmPom9psOCwkGNFSU7peXs1&#10;ClbJ4hc3x74ZPcvkZ32aV5f9YaBUp93MxyA8Nf4dfrWXWsHwC/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GmFYxQAAANsAAAAPAAAAAAAAAAAAAAAAAJgCAABkcnMv&#10;ZG93bnJldi54bWxQSwUGAAAAAAQABAD1AAAAigMAAAAA&#10;" filled="f" stroked="f" strokeweight=".5pt">
                    <v:textbox>
                      <w:txbxContent>
                        <w:p w:rsidR="00AE10E4" w:rsidRDefault="00AE10E4" w:rsidP="00AE10E4">
                          <w:pPr>
                            <w:snapToGrid w:val="0"/>
                            <w:jc w:val="center"/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</w:rPr>
                            <w:t>Ship-B</w:t>
                          </w:r>
                        </w:p>
                        <w:p w:rsidR="00AE10E4" w:rsidRPr="00AB685A" w:rsidRDefault="00AE10E4" w:rsidP="00AE10E4">
                          <w:pPr>
                            <w:jc w:val="center"/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</w:rPr>
                            <w:t>(Class-B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t>”</w:t>
                          </w:r>
                          <w:r>
                            <w:rPr>
                              <w:rFonts w:ascii="Times New Roman" w:hAnsi="Times New Roman" w:cs="Times New Roman" w:hint="eastAsia"/>
                            </w:rPr>
                            <w:t>SO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t>”</w:t>
                          </w:r>
                          <w:r>
                            <w:rPr>
                              <w:rFonts w:ascii="Times New Roman" w:hAnsi="Times New Roman" w:cs="Times New Roman" w:hint="eastAsia"/>
                            </w:rPr>
                            <w:t>)</w:t>
                          </w:r>
                        </w:p>
                      </w:txbxContent>
                    </v:textbox>
                  </v:shape>
                  <v:shape id="テキスト ボックス 74" o:spid="_x0000_s1033" type="#_x0000_t202" style="position:absolute;left:38325;top:5141;width:13809;height:46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P5LMUA&#10;AADbAAAADwAAAGRycy9kb3ducmV2LnhtbESPT4vCMBTE7wt+h/AEb2uqrKtUo0hBVsQ9+Ofi7dk8&#10;22LzUpuo1U+/WRA8DjPzG2Yya0wpblS7wrKCXjcCQZxaXXCmYL9bfI5AOI+ssbRMCh7kYDZtfUww&#10;1vbOG7ptfSYChF2MCnLvq1hKl+Zk0HVtRRy8k60N+iDrTOoa7wFuStmPom9psOCwkGNFSU7peXs1&#10;ClbJ4hc3x74ZPcvkZ32aV5f9YaBUp93MxyA8Nf4dfrWXWsHwC/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8/ksxQAAANsAAAAPAAAAAAAAAAAAAAAAAJgCAABkcnMv&#10;ZG93bnJldi54bWxQSwUGAAAAAAQABAD1AAAAigMAAAAA&#10;" filled="f" stroked="f" strokeweight=".5pt">
                    <v:textbox>
                      <w:txbxContent>
                        <w:p w:rsidR="00AE10E4" w:rsidRDefault="00AE10E4" w:rsidP="00AE10E4">
                          <w:pPr>
                            <w:snapToGrid w:val="0"/>
                            <w:jc w:val="center"/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</w:rPr>
                            <w:t>Ship-C</w:t>
                          </w:r>
                        </w:p>
                        <w:p w:rsidR="00AE10E4" w:rsidRPr="00AB685A" w:rsidRDefault="00AE10E4" w:rsidP="00AE10E4">
                          <w:pPr>
                            <w:jc w:val="center"/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</w:rPr>
                            <w:t>(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 w:hint="eastAsia"/>
                            </w:rPr>
                            <w:t>any</w:t>
                          </w:r>
                          <w:proofErr w:type="gramEnd"/>
                          <w:r>
                            <w:rPr>
                              <w:rFonts w:ascii="Times New Roman" w:hAnsi="Times New Roman" w:cs="Times New Roman" w:hint="eastAsia"/>
                            </w:rPr>
                            <w:t xml:space="preserve"> kind of AIS.)</w:t>
                          </w:r>
                        </w:p>
                      </w:txbxContent>
                    </v:textbox>
                  </v:shape>
                  <v:shape id="テキスト ボックス 75" o:spid="_x0000_s1034" type="#_x0000_t202" style="position:absolute;left:8852;top:22718;width:36361;height:3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3vLMUA&#10;AADbAAAADwAAAGRycy9kb3ducmV2LnhtbESPwW7CMBBE70j8g7VIvYEDVQsETBQqVWoPOTTAfYmX&#10;JCJeh9gNab++rlSpx9HsvNnZJoNpRE+dqy0rmM8iEMSF1TWXCo6H1+kKhPPIGhvLpOCLHCS78WiL&#10;sbZ3/qA+96UIEHYxKqi8b2MpXVGRQTezLXHwLrYz6IPsSqk7vAe4aeQiip6lwZpDQ4UtvVRUXPNP&#10;E97oT+fHtU+tc9llsX//xux8vSn1MBnSDQhPg/8//ku/aQXLJ/jdEgA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je8sxQAAANsAAAAPAAAAAAAAAAAAAAAAAJgCAABkcnMv&#10;ZG93bnJldi54bWxQSwUGAAAAAAQABAD1AAAAigMAAAAA&#10;" filled="f" stroked="f" strokeweight="1pt">
                    <v:textbox>
                      <w:txbxContent>
                        <w:p w:rsidR="00AE10E4" w:rsidRPr="009A6015" w:rsidRDefault="00AE10E4" w:rsidP="00AE10E4">
                          <w:pPr>
                            <w:jc w:val="center"/>
                            <w:rPr>
                              <w:rFonts w:cs="Times New Roman"/>
                              <w:b/>
                              <w:sz w:val="22"/>
                            </w:rPr>
                          </w:pPr>
                          <w:r w:rsidRPr="00CE4E9B">
                            <w:rPr>
                              <w:rFonts w:cs="Times New Roman"/>
                              <w:b/>
                              <w:sz w:val="22"/>
                            </w:rPr>
                            <w:t>Figure 1: Ship locations</w:t>
                          </w:r>
                          <w:r w:rsidRPr="009A6015">
                            <w:rPr>
                              <w:rFonts w:cs="Times New Roman"/>
                              <w:b/>
                              <w:sz w:val="22"/>
                            </w:rPr>
                            <w:t xml:space="preserve"> under consideration</w:t>
                          </w:r>
                        </w:p>
                      </w:txbxContent>
                    </v:textbox>
                  </v:shape>
                  <v:shapetype id="_x0000_t15" coordsize="21600,21600" o:spt="15" adj="16200" path="m@0,l,,,21600@0,21600,21600,10800xe">
                    <v:stroke joinstyle="miter"/>
                    <v:formulas>
                      <v:f eqn="val #0"/>
                      <v:f eqn="prod #0 1 2"/>
                    </v:formulas>
                    <v:path gradientshapeok="t" o:connecttype="custom" o:connectlocs="@1,0;0,10800;@1,21600;21600,10800" o:connectangles="270,180,90,0" textboxrect="0,0,10800,21600;0,0,16200,21600;0,0,21600,21600"/>
                    <v:handles>
                      <v:h position="#0,topLeft" xrange="0,21600"/>
                    </v:handles>
                  </v:shapetype>
                  <v:shape id="ホームベース 11" o:spid="_x0000_s1035" type="#_x0000_t15" style="position:absolute;left:44364;top:3192;width:3105;height:1193;rotation:616146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nvv8IA&#10;AADbAAAADwAAAGRycy9kb3ducmV2LnhtbERPTWvCQBC9C/0PyxR6041SJU1dpRQFL4LGIPQ2ZKdJ&#10;SHY27K4a/70rFHqbx/uc5XownbiS841lBdNJAoK4tLrhSkFx2o5TED4ga+wsk4I7eVivXkZLzLS9&#10;8ZGueahEDGGfoYI6hD6T0pc1GfQT2xNH7tc6gyFCV0nt8BbDTSdnSbKQBhuODTX29F1T2eYXo+Bn&#10;fy5374emalv6SPO5K9LtbKPU2+vw9Qki0BD+xX/unY7zp/D8JR4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ye+/wgAAANsAAAAPAAAAAAAAAAAAAAAAAJgCAABkcnMvZG93&#10;bnJldi54bWxQSwUGAAAAAAQABAD1AAAAhwMAAAAA&#10;" adj="17451" fillcolor="#dbe5f1 [660]" strokecolor="#243f60 [1604]" strokeweight="2pt"/>
                  <v:shape id="ホームベース 78" o:spid="_x0000_s1036" type="#_x0000_t15" style="position:absolute;left:8981;top:15813;width:3105;height:11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zgasQA&#10;AADbAAAADwAAAGRycy9kb3ducmV2LnhtbERPTWvCQBC9F/oflil4KbrRgtXUVUQQAsWDsaDeptlp&#10;kpqdDdk1if5691Do8fG+F6veVKKlxpWWFYxHEQjizOqScwVfh+1wBsJ5ZI2VZVJwIwer5fPTAmNt&#10;O95Tm/pchBB2MSoovK9jKV1WkEE3sjVx4H5sY9AH2ORSN9iFcFPJSRRNpcGSQ0OBNW0Kyi7p1Sg4&#10;7S5Jmrbfev6aVOfDsbt/vo1/lRq89OsPEJ56/y/+cydawXsYG76EH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s4GrEAAAA2wAAAA8AAAAAAAAAAAAAAAAAmAIAAGRycy9k&#10;b3ducmV2LnhtbFBLBQYAAAAABAAEAPUAAACJAwAAAAA=&#10;" adj="17451" fillcolor="#c4bc96 [2414]" strokecolor="#243f60 [1604]" strokeweight="2pt"/>
                  <v:shape id="ホームベース 79" o:spid="_x0000_s1037" type="#_x0000_t15" style="position:absolute;left:18676;top:15422;width:3105;height:1193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1uxMMA&#10;AADbAAAADwAAAGRycy9kb3ducmV2LnhtbESPQWsCMRSE7wX/Q3hCL6VmLa2tq1FEKBRvVVn09ti8&#10;7i5uXkISNf33plDwOMzMN8x8mUwvLuRDZ1nBeFSAIK6t7rhRsN99Pn+ACBFZY2+ZFPxSgOVi8DDH&#10;Utsrf9NlGxuRIRxKVNDG6EopQ92SwTCyjjh7P9YbjFn6RmqP1ww3vXwpiok02HFeaNHRuqX6tD0b&#10;BemQXP/qNv6t4+muetLVseBKqcdhWs1ARErxHv5vf2kF71P4+5J/gF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/1uxMMAAADbAAAADwAAAAAAAAAAAAAAAACYAgAAZHJzL2Rv&#10;d25yZXYueG1sUEsFBgAAAAAEAAQA9QAAAIgDAAAAAA==&#10;" adj="17451" fillcolor="#fbd4b4 [1305]" strokecolor="#243f60 [1604]" strokeweight="2pt"/>
                  <v:line id="直線コネクタ 12" o:spid="_x0000_s1038" style="position:absolute;flip:y;visibility:visible;mso-wrap-style:square" from="20825,3450" to="45342,163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XJlsIAAADbAAAADwAAAGRycy9kb3ducmV2LnhtbERPTWvCQBC9F/wPywje6sYcbImuIool&#10;h7ZiFLwO2TEbzM6G7DZJ/323UOhtHu9z1tvRNqKnzteOFSzmCQji0umaKwXXy/H5FYQPyBobx6Tg&#10;mzxsN5OnNWbaDXymvgiViCHsM1RgQmgzKX1pyKKfu5Y4cnfXWQwRdpXUHQ4x3DYyTZKltFhzbDDY&#10;0t5Q+Si+rIIisUa+f1S38XBu87dmcXq5fZ6Umk3H3QpEoDH8i//cuY7zU/j9JR4gN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sXJlsIAAADbAAAADwAAAAAAAAAAAAAA&#10;AAChAgAAZHJzL2Rvd25yZXYueG1sUEsFBgAAAAAEAAQA+QAAAJADAAAAAA==&#10;" strokecolor="#4579b8 [3044]">
                    <v:stroke dashstyle="dash"/>
                  </v:line>
                  <v:line id="直線コネクタ 13" o:spid="_x0000_s1039" style="position:absolute;visibility:visible;mso-wrap-style:square" from="12086,16410" to="19632,165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npMYcAAAADbAAAADwAAAGRycy9kb3ducmV2LnhtbERPzYrCMBC+C/sOYYS9aaorslajLEKX&#10;qie7PsDQjG2xmZQmtd23N4LgbT6+39nsBlOLO7WusqxgNo1AEOdWV1wouPwlk28QziNrrC2Tgn9y&#10;sNt+jDYYa9vzme6ZL0QIYRejgtL7JpbS5SUZdFPbEAfualuDPsC2kLrFPoSbWs6jaCkNVhwaSmxo&#10;X1J+yzqjIDmeFr1L05VbNgd/Sxbd77HrlPocDz9rEJ4G/xa/3KkO87/g+Us4QG4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p6TGHAAAAA2wAAAA8AAAAAAAAAAAAAAAAA&#10;oQIAAGRycy9kb3ducmV2LnhtbFBLBQYAAAAABAAEAPkAAACOAwAAAAA=&#10;" strokecolor="#4579b8 [3044]">
                    <v:stroke dashstyle="dash"/>
                  </v:line>
                </v:group>
                <w10:anchorlock/>
              </v:group>
            </w:pict>
          </mc:Fallback>
        </mc:AlternateContent>
      </w:r>
    </w:p>
    <w:p w:rsidR="00F17A49" w:rsidRDefault="00F61531" w:rsidP="009648D8">
      <w:pPr>
        <w:spacing w:afterLines="50" w:after="180"/>
        <w:ind w:firstLineChars="129" w:firstLine="284"/>
        <w:rPr>
          <w:sz w:val="22"/>
        </w:rPr>
      </w:pPr>
      <w:r>
        <w:rPr>
          <w:rFonts w:hint="eastAsia"/>
          <w:sz w:val="22"/>
        </w:rPr>
        <w:t xml:space="preserve">To </w:t>
      </w:r>
      <w:r w:rsidR="00C8213B">
        <w:rPr>
          <w:rFonts w:hint="eastAsia"/>
          <w:sz w:val="22"/>
        </w:rPr>
        <w:t>consider</w:t>
      </w:r>
      <w:r>
        <w:rPr>
          <w:rFonts w:hint="eastAsia"/>
          <w:sz w:val="22"/>
        </w:rPr>
        <w:t xml:space="preserve"> </w:t>
      </w:r>
      <w:r w:rsidR="00C8213B">
        <w:rPr>
          <w:rFonts w:hint="eastAsia"/>
          <w:sz w:val="22"/>
        </w:rPr>
        <w:t xml:space="preserve">the </w:t>
      </w:r>
      <w:r w:rsidR="00BE4FE8">
        <w:rPr>
          <w:rFonts w:hint="eastAsia"/>
          <w:sz w:val="22"/>
        </w:rPr>
        <w:t xml:space="preserve">receiving interference by the Ship-B, </w:t>
      </w:r>
      <w:r>
        <w:rPr>
          <w:rFonts w:hint="eastAsia"/>
          <w:sz w:val="22"/>
        </w:rPr>
        <w:t>co-channel rejection and blocking should be taken into account</w:t>
      </w:r>
      <w:r w:rsidR="00A252BC">
        <w:rPr>
          <w:rFonts w:hint="eastAsia"/>
          <w:sz w:val="22"/>
        </w:rPr>
        <w:t xml:space="preserve">; however co-channel rejection could be excluded because </w:t>
      </w:r>
      <w:r w:rsidR="00BE4FE8">
        <w:rPr>
          <w:rFonts w:hint="eastAsia"/>
          <w:sz w:val="22"/>
        </w:rPr>
        <w:t>the Ship-A and S</w:t>
      </w:r>
      <w:r w:rsidR="00BE4FE8">
        <w:rPr>
          <w:sz w:val="22"/>
        </w:rPr>
        <w:t>h</w:t>
      </w:r>
      <w:r w:rsidR="00BE4FE8">
        <w:rPr>
          <w:rFonts w:hint="eastAsia"/>
          <w:sz w:val="22"/>
        </w:rPr>
        <w:t>ip-B are in the nearby area, which means both S</w:t>
      </w:r>
      <w:r w:rsidR="00BE4FE8">
        <w:rPr>
          <w:sz w:val="22"/>
        </w:rPr>
        <w:t>h</w:t>
      </w:r>
      <w:r w:rsidR="00BE4FE8">
        <w:rPr>
          <w:rFonts w:hint="eastAsia"/>
          <w:sz w:val="22"/>
        </w:rPr>
        <w:t xml:space="preserve">ip-A and Ship-B </w:t>
      </w:r>
      <w:r w:rsidR="00BE4FE8">
        <w:rPr>
          <w:sz w:val="22"/>
        </w:rPr>
        <w:t>recognize</w:t>
      </w:r>
      <w:r w:rsidR="00BE4FE8">
        <w:rPr>
          <w:rFonts w:hint="eastAsia"/>
          <w:sz w:val="22"/>
        </w:rPr>
        <w:t xml:space="preserve"> the same slots as free; therefore the transmission by S</w:t>
      </w:r>
      <w:r w:rsidR="00BE4FE8">
        <w:rPr>
          <w:sz w:val="22"/>
        </w:rPr>
        <w:t>h</w:t>
      </w:r>
      <w:r w:rsidR="00BE4FE8">
        <w:rPr>
          <w:rFonts w:hint="eastAsia"/>
          <w:sz w:val="22"/>
        </w:rPr>
        <w:t xml:space="preserve">ip-B will not interfere the reception of Ship-A. On the other hand, </w:t>
      </w:r>
      <w:r w:rsidR="00F17A49">
        <w:rPr>
          <w:rFonts w:hint="eastAsia"/>
          <w:sz w:val="22"/>
        </w:rPr>
        <w:t>when the S</w:t>
      </w:r>
      <w:r w:rsidR="00F17A49">
        <w:rPr>
          <w:sz w:val="22"/>
        </w:rPr>
        <w:t>h</w:t>
      </w:r>
      <w:r w:rsidR="00F17A49">
        <w:rPr>
          <w:rFonts w:hint="eastAsia"/>
          <w:sz w:val="22"/>
        </w:rPr>
        <w:t>ip-A receives a weak signal from the Ship-C on AIS 1, the Ship-B may transmit on the same slot number on AIS 2, because the slot conditions may not be the same on both AIS 1 and AIS 2.  In this case, the Ship-A reception on AIS 1</w:t>
      </w:r>
      <w:r w:rsidR="006D1967">
        <w:rPr>
          <w:rFonts w:hint="eastAsia"/>
          <w:sz w:val="22"/>
        </w:rPr>
        <w:t xml:space="preserve"> </w:t>
      </w:r>
      <w:r w:rsidR="00F17A49">
        <w:rPr>
          <w:rFonts w:hint="eastAsia"/>
          <w:sz w:val="22"/>
        </w:rPr>
        <w:t>may be blocked by the strong signal on AIS 2 from the Ship-B.</w:t>
      </w:r>
    </w:p>
    <w:p w:rsidR="00763562" w:rsidRDefault="00763562" w:rsidP="009648D8">
      <w:pPr>
        <w:spacing w:afterLines="50" w:after="180"/>
        <w:ind w:firstLineChars="129" w:firstLine="284"/>
        <w:rPr>
          <w:rFonts w:ascii="Cambria Math" w:hAnsi="Cambria Math"/>
          <w:sz w:val="22"/>
        </w:rPr>
      </w:pPr>
      <w:r>
        <w:rPr>
          <w:rFonts w:hint="eastAsia"/>
          <w:sz w:val="22"/>
        </w:rPr>
        <w:t xml:space="preserve">As specified in Table 33, Annex 7 </w:t>
      </w:r>
      <w:r w:rsidR="009A6015">
        <w:rPr>
          <w:rFonts w:hint="eastAsia"/>
          <w:sz w:val="22"/>
        </w:rPr>
        <w:t>in</w:t>
      </w:r>
      <w:r>
        <w:rPr>
          <w:rFonts w:hint="eastAsia"/>
          <w:sz w:val="22"/>
        </w:rPr>
        <w:t xml:space="preserve"> M.1371-4, the blocking will occur with the </w:t>
      </w:r>
      <w:r>
        <w:rPr>
          <w:rFonts w:hint="eastAsia"/>
          <w:sz w:val="22"/>
        </w:rPr>
        <w:lastRenderedPageBreak/>
        <w:t xml:space="preserve">unwanted signal level of </w:t>
      </w:r>
      <w:r>
        <w:rPr>
          <w:rFonts w:ascii="Cambria Math" w:hAnsi="Cambria Math"/>
          <w:sz w:val="22"/>
        </w:rPr>
        <w:t>−</w:t>
      </w:r>
      <w:r>
        <w:rPr>
          <w:rFonts w:hint="eastAsia"/>
          <w:sz w:val="22"/>
        </w:rPr>
        <w:t xml:space="preserve">23 dBm when receiving wanted signal level of </w:t>
      </w:r>
      <w:r>
        <w:rPr>
          <w:rFonts w:ascii="Cambria Math" w:hAnsi="Cambria Math"/>
          <w:sz w:val="22"/>
        </w:rPr>
        <w:t>−</w:t>
      </w:r>
      <w:r>
        <w:rPr>
          <w:rFonts w:ascii="Cambria Math" w:hAnsi="Cambria Math" w:hint="eastAsia"/>
          <w:sz w:val="22"/>
        </w:rPr>
        <w:t xml:space="preserve">101 dBm. </w:t>
      </w:r>
    </w:p>
    <w:p w:rsidR="009F21D1" w:rsidRDefault="00763562" w:rsidP="009648D8">
      <w:pPr>
        <w:spacing w:afterLines="50" w:after="180"/>
        <w:ind w:firstLineChars="129" w:firstLine="284"/>
        <w:rPr>
          <w:rFonts w:ascii="Cambria Math" w:hAnsi="Cambria Math"/>
          <w:sz w:val="22"/>
        </w:rPr>
      </w:pPr>
      <w:r>
        <w:rPr>
          <w:rFonts w:ascii="Cambria Math" w:hAnsi="Cambria Math" w:hint="eastAsia"/>
          <w:sz w:val="22"/>
        </w:rPr>
        <w:t xml:space="preserve">The distance which </w:t>
      </w:r>
      <w:r w:rsidR="00FB0C34">
        <w:rPr>
          <w:rFonts w:ascii="Cambria Math" w:hAnsi="Cambria Math" w:hint="eastAsia"/>
          <w:sz w:val="22"/>
        </w:rPr>
        <w:t xml:space="preserve">obtains </w:t>
      </w:r>
      <w:r>
        <w:rPr>
          <w:rFonts w:ascii="Cambria Math" w:hAnsi="Cambria Math" w:hint="eastAsia"/>
          <w:sz w:val="22"/>
        </w:rPr>
        <w:t xml:space="preserve">the </w:t>
      </w:r>
      <w:r w:rsidR="00FB0C34">
        <w:rPr>
          <w:rFonts w:ascii="Cambria Math" w:hAnsi="Cambria Math" w:hint="eastAsia"/>
          <w:sz w:val="22"/>
        </w:rPr>
        <w:t xml:space="preserve">desired level, e.g. </w:t>
      </w:r>
      <w:r w:rsidR="00FB0C34">
        <w:rPr>
          <w:rFonts w:ascii="Cambria Math" w:hAnsi="Cambria Math"/>
          <w:sz w:val="22"/>
        </w:rPr>
        <w:t>−</w:t>
      </w:r>
      <w:r w:rsidR="00FB0C34">
        <w:rPr>
          <w:rFonts w:hint="eastAsia"/>
          <w:sz w:val="22"/>
        </w:rPr>
        <w:t>23 dBm</w:t>
      </w:r>
      <w:r w:rsidR="00FB0C34">
        <w:rPr>
          <w:rFonts w:ascii="Cambria Math" w:hAnsi="Cambria Math" w:hint="eastAsia"/>
          <w:sz w:val="22"/>
        </w:rPr>
        <w:t xml:space="preserve"> and </w:t>
      </w:r>
      <w:r w:rsidR="00FB0C34">
        <w:rPr>
          <w:rFonts w:ascii="Cambria Math" w:hAnsi="Cambria Math"/>
          <w:sz w:val="22"/>
        </w:rPr>
        <w:t>−</w:t>
      </w:r>
      <w:r w:rsidR="00FB0C34">
        <w:rPr>
          <w:rFonts w:ascii="Cambria Math" w:hAnsi="Cambria Math" w:hint="eastAsia"/>
          <w:sz w:val="22"/>
        </w:rPr>
        <w:t>101</w:t>
      </w:r>
      <w:r w:rsidR="00FB0C34">
        <w:rPr>
          <w:rFonts w:hint="eastAsia"/>
          <w:sz w:val="22"/>
        </w:rPr>
        <w:t xml:space="preserve"> dBm, </w:t>
      </w:r>
      <w:r w:rsidR="00FB0C34">
        <w:rPr>
          <w:rFonts w:ascii="Cambria Math" w:hAnsi="Cambria Math" w:hint="eastAsia"/>
          <w:sz w:val="22"/>
        </w:rPr>
        <w:t xml:space="preserve">can be </w:t>
      </w:r>
      <w:r w:rsidR="00FB0C34">
        <w:rPr>
          <w:rFonts w:ascii="Cambria Math" w:hAnsi="Cambria Math"/>
          <w:sz w:val="22"/>
        </w:rPr>
        <w:t>calculated</w:t>
      </w:r>
      <w:r w:rsidR="00FB0C34">
        <w:rPr>
          <w:rFonts w:ascii="Cambria Math" w:hAnsi="Cambria Math" w:hint="eastAsia"/>
          <w:sz w:val="22"/>
        </w:rPr>
        <w:t xml:space="preserve"> using propagation </w:t>
      </w:r>
      <w:r w:rsidR="00FB0C34">
        <w:rPr>
          <w:rFonts w:ascii="Cambria Math" w:hAnsi="Cambria Math"/>
          <w:sz w:val="22"/>
        </w:rPr>
        <w:t>theories</w:t>
      </w:r>
      <w:r w:rsidR="00FB0C34">
        <w:rPr>
          <w:rFonts w:ascii="Cambria Math" w:hAnsi="Cambria Math" w:hint="eastAsia"/>
          <w:sz w:val="22"/>
        </w:rPr>
        <w:t xml:space="preserve">. Figure 2 shows </w:t>
      </w:r>
      <w:r w:rsidR="009F21D1">
        <w:rPr>
          <w:rFonts w:ascii="Cambria Math" w:hAnsi="Cambria Math" w:hint="eastAsia"/>
          <w:sz w:val="22"/>
        </w:rPr>
        <w:t xml:space="preserve">an </w:t>
      </w:r>
      <w:r w:rsidR="009F21D1">
        <w:rPr>
          <w:rFonts w:ascii="Cambria Math" w:hAnsi="Cambria Math"/>
          <w:sz w:val="22"/>
        </w:rPr>
        <w:t>example</w:t>
      </w:r>
      <w:r w:rsidR="009F21D1">
        <w:rPr>
          <w:rFonts w:ascii="Cambria Math" w:hAnsi="Cambria Math" w:hint="eastAsia"/>
          <w:sz w:val="22"/>
        </w:rPr>
        <w:t xml:space="preserve"> of VHF propagations using the following parameters:</w:t>
      </w:r>
    </w:p>
    <w:p w:rsidR="009F21D1" w:rsidRDefault="009F21D1" w:rsidP="00174BD1">
      <w:pPr>
        <w:pStyle w:val="ListParagraph"/>
        <w:numPr>
          <w:ilvl w:val="0"/>
          <w:numId w:val="9"/>
        </w:numPr>
        <w:ind w:leftChars="0"/>
        <w:rPr>
          <w:rFonts w:ascii="Cambria Math" w:hAnsi="Cambria Math"/>
          <w:sz w:val="22"/>
        </w:rPr>
      </w:pPr>
      <w:r>
        <w:rPr>
          <w:rFonts w:ascii="Cambria Math" w:hAnsi="Cambria Math" w:hint="eastAsia"/>
          <w:sz w:val="22"/>
        </w:rPr>
        <w:t>transmit power : 5 W</w:t>
      </w:r>
    </w:p>
    <w:p w:rsidR="009F21D1" w:rsidRDefault="009F21D1" w:rsidP="00174BD1">
      <w:pPr>
        <w:pStyle w:val="ListParagraph"/>
        <w:numPr>
          <w:ilvl w:val="0"/>
          <w:numId w:val="9"/>
        </w:numPr>
        <w:ind w:leftChars="0"/>
        <w:rPr>
          <w:rFonts w:ascii="Cambria Math" w:hAnsi="Cambria Math"/>
          <w:sz w:val="22"/>
        </w:rPr>
      </w:pPr>
      <w:r>
        <w:rPr>
          <w:rFonts w:ascii="Cambria Math" w:hAnsi="Cambria Math" w:hint="eastAsia"/>
          <w:sz w:val="22"/>
        </w:rPr>
        <w:t xml:space="preserve">antenna height (TX </w:t>
      </w:r>
      <w:r w:rsidR="00116623">
        <w:rPr>
          <w:rFonts w:ascii="Cambria Math" w:hAnsi="Cambria Math" w:hint="eastAsia"/>
          <w:sz w:val="22"/>
        </w:rPr>
        <w:t xml:space="preserve">= </w:t>
      </w:r>
      <w:r>
        <w:rPr>
          <w:rFonts w:ascii="Cambria Math" w:hAnsi="Cambria Math" w:hint="eastAsia"/>
          <w:sz w:val="22"/>
        </w:rPr>
        <w:t>RX): 5 m</w:t>
      </w:r>
    </w:p>
    <w:p w:rsidR="00FB0C34" w:rsidRPr="009F21D1" w:rsidRDefault="009F21D1" w:rsidP="00174BD1">
      <w:pPr>
        <w:pStyle w:val="ListParagraph"/>
        <w:numPr>
          <w:ilvl w:val="0"/>
          <w:numId w:val="9"/>
        </w:numPr>
        <w:spacing w:afterLines="50" w:after="180"/>
        <w:ind w:leftChars="0"/>
        <w:rPr>
          <w:rFonts w:ascii="Cambria Math" w:hAnsi="Cambria Math"/>
          <w:sz w:val="22"/>
        </w:rPr>
      </w:pPr>
      <w:r>
        <w:rPr>
          <w:rFonts w:ascii="Cambria Math" w:hAnsi="Cambria Math" w:hint="eastAsia"/>
          <w:sz w:val="22"/>
        </w:rPr>
        <w:t xml:space="preserve">antenna gain: 2.15 dBi </w:t>
      </w:r>
    </w:p>
    <w:p w:rsidR="009F21D1" w:rsidRDefault="009F21D1" w:rsidP="009648D8">
      <w:pPr>
        <w:spacing w:afterLines="50" w:after="180"/>
        <w:ind w:firstLineChars="129" w:firstLine="284"/>
        <w:rPr>
          <w:rFonts w:ascii="Cambria Math" w:hAnsi="Cambria Math"/>
          <w:sz w:val="22"/>
        </w:rPr>
      </w:pPr>
      <w:r>
        <w:rPr>
          <w:rFonts w:ascii="Cambria Math" w:hAnsi="Cambria Math" w:hint="eastAsia"/>
          <w:sz w:val="22"/>
        </w:rPr>
        <w:t xml:space="preserve">In Figure 2, the red dotted line shows the free-space propagation, blue dotted line shows the approximation including sea surface </w:t>
      </w:r>
      <w:r>
        <w:rPr>
          <w:rFonts w:ascii="Cambria Math" w:hAnsi="Cambria Math"/>
          <w:sz w:val="22"/>
        </w:rPr>
        <w:t>reflection</w:t>
      </w:r>
      <w:r>
        <w:rPr>
          <w:rFonts w:ascii="Cambria Math" w:hAnsi="Cambria Math" w:hint="eastAsia"/>
          <w:sz w:val="22"/>
        </w:rPr>
        <w:t xml:space="preserve">, and the purple solid line shows the calculation using </w:t>
      </w:r>
      <w:r w:rsidR="00FB0C34">
        <w:rPr>
          <w:rFonts w:ascii="Cambria Math" w:hAnsi="Cambria Math" w:hint="eastAsia"/>
          <w:sz w:val="22"/>
        </w:rPr>
        <w:t>Recommendation ITU-R P.526-10</w:t>
      </w:r>
      <w:r>
        <w:rPr>
          <w:rFonts w:ascii="Cambria Math" w:hAnsi="Cambria Math" w:hint="eastAsia"/>
          <w:sz w:val="22"/>
        </w:rPr>
        <w:t xml:space="preserve">, which well conforms to the real measurement. </w:t>
      </w:r>
    </w:p>
    <w:p w:rsidR="007F52CF" w:rsidRPr="00BE7BEE" w:rsidRDefault="00750C2F" w:rsidP="00750C2F">
      <w:pPr>
        <w:spacing w:afterLines="50" w:after="180"/>
        <w:ind w:firstLineChars="129" w:firstLine="284"/>
        <w:jc w:val="center"/>
        <w:rPr>
          <w:sz w:val="22"/>
        </w:rPr>
      </w:pPr>
      <w:r>
        <w:rPr>
          <w:rFonts w:hint="eastAsia"/>
          <w:noProof/>
          <w:sz w:val="22"/>
          <w:lang w:val="en-GB" w:eastAsia="en-GB"/>
        </w:rPr>
        <w:drawing>
          <wp:inline distT="0" distB="0" distL="0" distR="0">
            <wp:extent cx="5400040" cy="4952758"/>
            <wp:effectExtent l="0" t="0" r="0" b="635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952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2731" w:rsidRPr="00CE4E9B" w:rsidRDefault="00F61531" w:rsidP="00CE4E9B">
      <w:pPr>
        <w:spacing w:afterLines="50" w:after="180"/>
        <w:ind w:firstLineChars="129" w:firstLine="285"/>
        <w:jc w:val="center"/>
        <w:rPr>
          <w:b/>
          <w:sz w:val="22"/>
        </w:rPr>
      </w:pPr>
      <w:r w:rsidRPr="00CE4E9B">
        <w:rPr>
          <w:rFonts w:hint="eastAsia"/>
          <w:b/>
          <w:sz w:val="22"/>
        </w:rPr>
        <w:t>Figure 2: Propagation characteristics</w:t>
      </w:r>
    </w:p>
    <w:p w:rsidR="008973BD" w:rsidRDefault="008973BD" w:rsidP="009648D8">
      <w:pPr>
        <w:spacing w:afterLines="50" w:after="180"/>
        <w:ind w:firstLineChars="129" w:firstLine="284"/>
        <w:rPr>
          <w:sz w:val="22"/>
        </w:rPr>
      </w:pPr>
      <w:r>
        <w:rPr>
          <w:rFonts w:hint="eastAsia"/>
          <w:sz w:val="22"/>
        </w:rPr>
        <w:lastRenderedPageBreak/>
        <w:t xml:space="preserve">By using the equations specified in the </w:t>
      </w:r>
      <w:r w:rsidR="000D0658">
        <w:rPr>
          <w:rFonts w:hint="eastAsia"/>
          <w:sz w:val="22"/>
        </w:rPr>
        <w:t>R</w:t>
      </w:r>
      <w:r>
        <w:rPr>
          <w:rFonts w:hint="eastAsia"/>
          <w:sz w:val="22"/>
        </w:rPr>
        <w:t xml:space="preserve">ecommendation ITU-R P.526-10, the distances D (NM) and L (NM) </w:t>
      </w:r>
      <w:r>
        <w:rPr>
          <w:sz w:val="22"/>
        </w:rPr>
        <w:t>calculations</w:t>
      </w:r>
      <w:r>
        <w:rPr>
          <w:rFonts w:hint="eastAsia"/>
          <w:sz w:val="22"/>
        </w:rPr>
        <w:t xml:space="preserve"> results </w:t>
      </w:r>
      <w:r w:rsidR="009A6015">
        <w:rPr>
          <w:rFonts w:hint="eastAsia"/>
          <w:sz w:val="22"/>
        </w:rPr>
        <w:t>are</w:t>
      </w:r>
      <w:r>
        <w:rPr>
          <w:rFonts w:hint="eastAsia"/>
          <w:sz w:val="22"/>
        </w:rPr>
        <w:t xml:space="preserve"> shown in Table 1 </w:t>
      </w:r>
      <w:r>
        <w:rPr>
          <w:sz w:val="22"/>
        </w:rPr>
        <w:t>with</w:t>
      </w:r>
      <w:r>
        <w:rPr>
          <w:rFonts w:hint="eastAsia"/>
          <w:sz w:val="22"/>
        </w:rPr>
        <w:t xml:space="preserve"> the following parameters:</w:t>
      </w:r>
    </w:p>
    <w:p w:rsidR="00BD23F1" w:rsidRDefault="008973BD" w:rsidP="00174BD1">
      <w:pPr>
        <w:pStyle w:val="ListParagraph"/>
        <w:numPr>
          <w:ilvl w:val="0"/>
          <w:numId w:val="7"/>
        </w:numPr>
        <w:ind w:leftChars="0"/>
        <w:rPr>
          <w:sz w:val="22"/>
        </w:rPr>
      </w:pPr>
      <w:r>
        <w:rPr>
          <w:rFonts w:hint="eastAsia"/>
          <w:sz w:val="22"/>
        </w:rPr>
        <w:t>output power: 1W, 2 W, 5 W and 12,5 W</w:t>
      </w:r>
    </w:p>
    <w:p w:rsidR="008973BD" w:rsidRDefault="008973BD" w:rsidP="00174BD1">
      <w:pPr>
        <w:pStyle w:val="ListParagraph"/>
        <w:numPr>
          <w:ilvl w:val="0"/>
          <w:numId w:val="7"/>
        </w:numPr>
        <w:ind w:leftChars="0"/>
        <w:rPr>
          <w:sz w:val="22"/>
        </w:rPr>
      </w:pPr>
      <w:r>
        <w:rPr>
          <w:rFonts w:hint="eastAsia"/>
          <w:sz w:val="22"/>
        </w:rPr>
        <w:t>antenna height</w:t>
      </w:r>
      <w:r w:rsidR="00116623">
        <w:rPr>
          <w:rFonts w:hint="eastAsia"/>
          <w:sz w:val="22"/>
        </w:rPr>
        <w:t xml:space="preserve"> (TX = RX)</w:t>
      </w:r>
      <w:r>
        <w:rPr>
          <w:rFonts w:hint="eastAsia"/>
          <w:sz w:val="22"/>
        </w:rPr>
        <w:t>: 3 m, 4 m, 5 m and 10 m</w:t>
      </w:r>
    </w:p>
    <w:p w:rsidR="008973BD" w:rsidRDefault="008973BD" w:rsidP="00174BD1">
      <w:pPr>
        <w:pStyle w:val="ListParagraph"/>
        <w:numPr>
          <w:ilvl w:val="0"/>
          <w:numId w:val="7"/>
        </w:numPr>
        <w:spacing w:afterLines="50" w:after="180"/>
        <w:ind w:leftChars="0"/>
        <w:rPr>
          <w:sz w:val="22"/>
        </w:rPr>
      </w:pPr>
      <w:r>
        <w:rPr>
          <w:rFonts w:hint="eastAsia"/>
          <w:sz w:val="22"/>
        </w:rPr>
        <w:t>antenna gain: 2.15 dBi</w:t>
      </w:r>
    </w:p>
    <w:p w:rsidR="0093164F" w:rsidRDefault="0093164F" w:rsidP="00116623">
      <w:pPr>
        <w:spacing w:afterLines="50" w:after="180"/>
        <w:ind w:firstLineChars="129" w:firstLine="284"/>
        <w:rPr>
          <w:sz w:val="22"/>
        </w:rPr>
      </w:pPr>
    </w:p>
    <w:p w:rsidR="00BD23F1" w:rsidRDefault="0093164F" w:rsidP="00116623">
      <w:pPr>
        <w:spacing w:afterLines="50" w:after="180"/>
        <w:ind w:firstLineChars="129" w:firstLine="284"/>
        <w:rPr>
          <w:sz w:val="22"/>
        </w:rPr>
      </w:pPr>
      <w:r>
        <w:rPr>
          <w:rFonts w:hint="eastAsia"/>
          <w:sz w:val="22"/>
        </w:rPr>
        <w:t xml:space="preserve">The calculation results in </w:t>
      </w:r>
      <w:r w:rsidR="007660A5">
        <w:rPr>
          <w:rFonts w:hint="eastAsia"/>
          <w:sz w:val="22"/>
        </w:rPr>
        <w:t>Table 1</w:t>
      </w:r>
      <w:r>
        <w:rPr>
          <w:rFonts w:hint="eastAsia"/>
          <w:sz w:val="22"/>
        </w:rPr>
        <w:t xml:space="preserve"> indicate</w:t>
      </w:r>
      <w:r w:rsidR="009A6015">
        <w:rPr>
          <w:rFonts w:hint="eastAsia"/>
          <w:sz w:val="22"/>
        </w:rPr>
        <w:t xml:space="preserve"> that</w:t>
      </w:r>
      <w:r>
        <w:rPr>
          <w:rFonts w:hint="eastAsia"/>
          <w:sz w:val="22"/>
        </w:rPr>
        <w:t>:</w:t>
      </w:r>
    </w:p>
    <w:p w:rsidR="0093164F" w:rsidRDefault="009A6015" w:rsidP="00174BD1">
      <w:pPr>
        <w:pStyle w:val="ListParagraph"/>
        <w:numPr>
          <w:ilvl w:val="0"/>
          <w:numId w:val="8"/>
        </w:numPr>
        <w:ind w:leftChars="0"/>
        <w:rPr>
          <w:sz w:val="22"/>
        </w:rPr>
      </w:pPr>
      <w:proofErr w:type="gramStart"/>
      <w:r>
        <w:rPr>
          <w:rFonts w:hint="eastAsia"/>
          <w:sz w:val="22"/>
        </w:rPr>
        <w:t>i</w:t>
      </w:r>
      <w:r w:rsidR="0093164F">
        <w:rPr>
          <w:rFonts w:hint="eastAsia"/>
          <w:sz w:val="22"/>
        </w:rPr>
        <w:t>n</w:t>
      </w:r>
      <w:proofErr w:type="gramEnd"/>
      <w:r w:rsidR="0093164F">
        <w:rPr>
          <w:rFonts w:hint="eastAsia"/>
          <w:sz w:val="22"/>
        </w:rPr>
        <w:t xml:space="preserve"> case of transmit power of 12,5W and </w:t>
      </w:r>
      <w:r w:rsidR="00174BD1">
        <w:rPr>
          <w:rFonts w:hint="eastAsia"/>
          <w:sz w:val="22"/>
        </w:rPr>
        <w:t xml:space="preserve">the </w:t>
      </w:r>
      <w:r w:rsidR="0093164F">
        <w:rPr>
          <w:rFonts w:hint="eastAsia"/>
          <w:sz w:val="22"/>
        </w:rPr>
        <w:t xml:space="preserve">antenna height </w:t>
      </w:r>
      <w:r w:rsidR="00174BD1">
        <w:rPr>
          <w:rFonts w:hint="eastAsia"/>
          <w:sz w:val="22"/>
        </w:rPr>
        <w:t xml:space="preserve">is </w:t>
      </w:r>
      <w:r w:rsidR="0093164F">
        <w:rPr>
          <w:rFonts w:hint="eastAsia"/>
          <w:sz w:val="22"/>
        </w:rPr>
        <w:t>4 m, the blocking will occur when the ship-B comes close to the distance D = 0.08 NM (150 m).</w:t>
      </w:r>
    </w:p>
    <w:p w:rsidR="0093164F" w:rsidRDefault="009A6015" w:rsidP="00174BD1">
      <w:pPr>
        <w:pStyle w:val="ListParagraph"/>
        <w:numPr>
          <w:ilvl w:val="0"/>
          <w:numId w:val="8"/>
        </w:numPr>
        <w:ind w:leftChars="0"/>
        <w:rPr>
          <w:sz w:val="22"/>
        </w:rPr>
      </w:pPr>
      <w:proofErr w:type="gramStart"/>
      <w:r>
        <w:rPr>
          <w:rFonts w:hint="eastAsia"/>
          <w:sz w:val="22"/>
        </w:rPr>
        <w:t>i</w:t>
      </w:r>
      <w:r w:rsidR="0093164F">
        <w:rPr>
          <w:rFonts w:hint="eastAsia"/>
          <w:sz w:val="22"/>
        </w:rPr>
        <w:t>n</w:t>
      </w:r>
      <w:proofErr w:type="gramEnd"/>
      <w:r w:rsidR="0093164F">
        <w:rPr>
          <w:rFonts w:hint="eastAsia"/>
          <w:sz w:val="22"/>
        </w:rPr>
        <w:t xml:space="preserve"> case of transmit power of 2 W and the antenna height is 4 m, the blocking will occur when the ship-B comes close to the distance D = 0.06 NM (110 m).</w:t>
      </w:r>
    </w:p>
    <w:p w:rsidR="0093164F" w:rsidRDefault="009A6015" w:rsidP="00843FAC">
      <w:pPr>
        <w:pStyle w:val="ListParagraph"/>
        <w:numPr>
          <w:ilvl w:val="0"/>
          <w:numId w:val="8"/>
        </w:numPr>
        <w:spacing w:afterLines="50" w:after="180"/>
        <w:ind w:leftChars="0" w:left="823"/>
        <w:rPr>
          <w:sz w:val="22"/>
        </w:rPr>
      </w:pPr>
      <w:proofErr w:type="gramStart"/>
      <w:r>
        <w:rPr>
          <w:rFonts w:hint="eastAsia"/>
          <w:sz w:val="22"/>
        </w:rPr>
        <w:t>i</w:t>
      </w:r>
      <w:r w:rsidR="0093164F">
        <w:rPr>
          <w:rFonts w:hint="eastAsia"/>
          <w:sz w:val="22"/>
        </w:rPr>
        <w:t>n</w:t>
      </w:r>
      <w:proofErr w:type="gramEnd"/>
      <w:r w:rsidR="0093164F">
        <w:rPr>
          <w:rFonts w:hint="eastAsia"/>
          <w:sz w:val="22"/>
        </w:rPr>
        <w:t xml:space="preserve"> case of transmit power of 2 W and the antenna height is 4 m, </w:t>
      </w:r>
      <w:r w:rsidR="00174BD1">
        <w:rPr>
          <w:rFonts w:hint="eastAsia"/>
          <w:sz w:val="22"/>
        </w:rPr>
        <w:t xml:space="preserve">the transmit signal will reach to </w:t>
      </w:r>
      <w:r w:rsidR="008A5307">
        <w:rPr>
          <w:rFonts w:hint="eastAsia"/>
          <w:sz w:val="22"/>
        </w:rPr>
        <w:t xml:space="preserve">L = </w:t>
      </w:r>
      <w:r w:rsidR="00174BD1">
        <w:rPr>
          <w:rFonts w:hint="eastAsia"/>
          <w:sz w:val="22"/>
        </w:rPr>
        <w:t xml:space="preserve">8.4 NM (16 km) for sensitivity level </w:t>
      </w:r>
      <w:r w:rsidR="0059140E">
        <w:rPr>
          <w:rFonts w:hint="eastAsia"/>
          <w:sz w:val="22"/>
        </w:rPr>
        <w:t>(</w:t>
      </w:r>
      <w:r w:rsidR="0059140E">
        <w:rPr>
          <w:rFonts w:ascii="Cambria Math" w:hAnsi="Cambria Math"/>
          <w:sz w:val="22"/>
        </w:rPr>
        <w:t>−</w:t>
      </w:r>
      <w:r w:rsidR="0059140E">
        <w:rPr>
          <w:rFonts w:hint="eastAsia"/>
          <w:sz w:val="22"/>
        </w:rPr>
        <w:t xml:space="preserve">107 dBm) </w:t>
      </w:r>
      <w:r w:rsidR="00174BD1">
        <w:rPr>
          <w:rFonts w:hint="eastAsia"/>
          <w:sz w:val="22"/>
        </w:rPr>
        <w:t xml:space="preserve">and to </w:t>
      </w:r>
      <w:r w:rsidR="008A5307">
        <w:rPr>
          <w:rFonts w:hint="eastAsia"/>
          <w:sz w:val="22"/>
        </w:rPr>
        <w:t xml:space="preserve">L = </w:t>
      </w:r>
      <w:r w:rsidR="00174BD1">
        <w:rPr>
          <w:rFonts w:hint="eastAsia"/>
          <w:sz w:val="22"/>
        </w:rPr>
        <w:t xml:space="preserve">5.5 NM (10 km) for blocking measurement </w:t>
      </w:r>
      <w:r w:rsidR="00843FAC">
        <w:rPr>
          <w:rFonts w:hint="eastAsia"/>
          <w:sz w:val="22"/>
        </w:rPr>
        <w:t>level</w:t>
      </w:r>
      <w:r w:rsidR="0059140E">
        <w:rPr>
          <w:rFonts w:hint="eastAsia"/>
          <w:sz w:val="22"/>
        </w:rPr>
        <w:t xml:space="preserve"> (</w:t>
      </w:r>
      <w:r w:rsidR="0059140E">
        <w:rPr>
          <w:rFonts w:ascii="Cambria Math" w:hAnsi="Cambria Math"/>
          <w:sz w:val="22"/>
        </w:rPr>
        <w:t>−</w:t>
      </w:r>
      <w:r w:rsidR="0059140E">
        <w:rPr>
          <w:rFonts w:hint="eastAsia"/>
          <w:sz w:val="22"/>
        </w:rPr>
        <w:t>101 dBm)</w:t>
      </w:r>
      <w:r w:rsidR="00843FAC">
        <w:rPr>
          <w:rFonts w:hint="eastAsia"/>
          <w:sz w:val="22"/>
        </w:rPr>
        <w:t>.</w:t>
      </w:r>
    </w:p>
    <w:p w:rsidR="004B303F" w:rsidRDefault="004B303F" w:rsidP="0092637D">
      <w:pPr>
        <w:spacing w:afterLines="50" w:after="180"/>
        <w:ind w:firstLineChars="129" w:firstLine="284"/>
        <w:rPr>
          <w:sz w:val="22"/>
        </w:rPr>
      </w:pPr>
    </w:p>
    <w:p w:rsidR="00734000" w:rsidRPr="000B3F96" w:rsidRDefault="004B303F" w:rsidP="001D7335">
      <w:pPr>
        <w:tabs>
          <w:tab w:val="left" w:pos="1701"/>
        </w:tabs>
        <w:spacing w:afterLines="50" w:after="180"/>
        <w:ind w:leftChars="405" w:left="1701" w:hanging="851"/>
        <w:rPr>
          <w:sz w:val="20"/>
          <w:szCs w:val="20"/>
        </w:rPr>
      </w:pPr>
      <w:r w:rsidRPr="000B3F96">
        <w:rPr>
          <w:rFonts w:hint="eastAsia"/>
          <w:sz w:val="20"/>
          <w:szCs w:val="20"/>
        </w:rPr>
        <w:t>NOTE:</w:t>
      </w:r>
      <w:r w:rsidR="001D7335" w:rsidRPr="000B3F96">
        <w:rPr>
          <w:rFonts w:hint="eastAsia"/>
          <w:sz w:val="20"/>
          <w:szCs w:val="20"/>
        </w:rPr>
        <w:tab/>
      </w:r>
      <w:r w:rsidRPr="000B3F96">
        <w:rPr>
          <w:rFonts w:hint="eastAsia"/>
          <w:sz w:val="20"/>
          <w:szCs w:val="20"/>
        </w:rPr>
        <w:t>I</w:t>
      </w:r>
      <w:r w:rsidR="0092637D" w:rsidRPr="000B3F96">
        <w:rPr>
          <w:rFonts w:hint="eastAsia"/>
          <w:sz w:val="20"/>
          <w:szCs w:val="20"/>
        </w:rPr>
        <w:t>f Class-B</w:t>
      </w:r>
      <w:r w:rsidR="0092637D" w:rsidRPr="000B3F96">
        <w:rPr>
          <w:sz w:val="20"/>
          <w:szCs w:val="20"/>
        </w:rPr>
        <w:t>”</w:t>
      </w:r>
      <w:r w:rsidR="0092637D" w:rsidRPr="000B3F96">
        <w:rPr>
          <w:rFonts w:hint="eastAsia"/>
          <w:sz w:val="20"/>
          <w:szCs w:val="20"/>
        </w:rPr>
        <w:t>SO</w:t>
      </w:r>
      <w:r w:rsidR="0092637D" w:rsidRPr="000B3F96">
        <w:rPr>
          <w:sz w:val="20"/>
          <w:szCs w:val="20"/>
        </w:rPr>
        <w:t>”</w:t>
      </w:r>
      <w:r w:rsidR="0092637D" w:rsidRPr="000B3F96">
        <w:rPr>
          <w:rFonts w:hint="eastAsia"/>
          <w:sz w:val="20"/>
          <w:szCs w:val="20"/>
        </w:rPr>
        <w:t xml:space="preserve"> uses the receiver </w:t>
      </w:r>
      <w:r w:rsidR="0092637D" w:rsidRPr="000B3F96">
        <w:rPr>
          <w:sz w:val="20"/>
          <w:szCs w:val="20"/>
        </w:rPr>
        <w:t>characteristic</w:t>
      </w:r>
      <w:r w:rsidR="0092637D" w:rsidRPr="000B3F96">
        <w:rPr>
          <w:rFonts w:hint="eastAsia"/>
          <w:sz w:val="20"/>
          <w:szCs w:val="20"/>
        </w:rPr>
        <w:t>s specified in Annex2 in M.1371-4 (same as Class-A AIS), the blocking will occur</w:t>
      </w:r>
      <w:r w:rsidRPr="000B3F96">
        <w:rPr>
          <w:rFonts w:hint="eastAsia"/>
          <w:sz w:val="20"/>
          <w:szCs w:val="20"/>
        </w:rPr>
        <w:t xml:space="preserve"> at the antenna input level of </w:t>
      </w:r>
      <w:r w:rsidRPr="000B3F96">
        <w:rPr>
          <w:rFonts w:ascii="Cambria Math" w:hAnsi="Cambria Math"/>
          <w:sz w:val="20"/>
          <w:szCs w:val="20"/>
        </w:rPr>
        <w:t>−</w:t>
      </w:r>
      <w:r w:rsidR="0092637D" w:rsidRPr="000B3F96">
        <w:rPr>
          <w:rFonts w:hint="eastAsia"/>
          <w:sz w:val="20"/>
          <w:szCs w:val="20"/>
        </w:rPr>
        <w:t>15d</w:t>
      </w:r>
      <w:r w:rsidR="00734000" w:rsidRPr="000B3F96">
        <w:rPr>
          <w:rFonts w:hint="eastAsia"/>
          <w:sz w:val="20"/>
          <w:szCs w:val="20"/>
        </w:rPr>
        <w:t xml:space="preserve">Bm. </w:t>
      </w:r>
      <w:r w:rsidR="0092637D" w:rsidRPr="000B3F96">
        <w:rPr>
          <w:rFonts w:hint="eastAsia"/>
          <w:sz w:val="20"/>
          <w:szCs w:val="20"/>
        </w:rPr>
        <w:t xml:space="preserve">This is also indicated </w:t>
      </w:r>
      <w:r w:rsidR="00734000" w:rsidRPr="000B3F96">
        <w:rPr>
          <w:rFonts w:hint="eastAsia"/>
          <w:sz w:val="20"/>
          <w:szCs w:val="20"/>
        </w:rPr>
        <w:t>in Table 1</w:t>
      </w:r>
      <w:r w:rsidRPr="000B3F96">
        <w:rPr>
          <w:rFonts w:hint="eastAsia"/>
          <w:sz w:val="20"/>
          <w:szCs w:val="20"/>
        </w:rPr>
        <w:t xml:space="preserve"> with green highlighted cells</w:t>
      </w:r>
      <w:r w:rsidR="00734000" w:rsidRPr="000B3F96">
        <w:rPr>
          <w:rFonts w:hint="eastAsia"/>
          <w:sz w:val="20"/>
          <w:szCs w:val="20"/>
        </w:rPr>
        <w:t>:</w:t>
      </w:r>
    </w:p>
    <w:p w:rsidR="00734000" w:rsidRPr="000B3F96" w:rsidRDefault="00734000" w:rsidP="001D7335">
      <w:pPr>
        <w:pStyle w:val="ListParagraph"/>
        <w:numPr>
          <w:ilvl w:val="0"/>
          <w:numId w:val="10"/>
        </w:numPr>
        <w:ind w:leftChars="0" w:left="1701" w:hanging="142"/>
        <w:rPr>
          <w:sz w:val="20"/>
          <w:szCs w:val="20"/>
        </w:rPr>
      </w:pPr>
      <w:proofErr w:type="gramStart"/>
      <w:r w:rsidRPr="000B3F96">
        <w:rPr>
          <w:rFonts w:hint="eastAsia"/>
          <w:sz w:val="20"/>
          <w:szCs w:val="20"/>
        </w:rPr>
        <w:t>in</w:t>
      </w:r>
      <w:proofErr w:type="gramEnd"/>
      <w:r w:rsidRPr="000B3F96">
        <w:rPr>
          <w:rFonts w:hint="eastAsia"/>
          <w:sz w:val="20"/>
          <w:szCs w:val="20"/>
        </w:rPr>
        <w:t xml:space="preserve"> case of transmit power of 12,5W and the antenna height is 4 m, the blocking will occur when the ship-B comes close to the distance D = 0.06 NM (110 m).</w:t>
      </w:r>
    </w:p>
    <w:p w:rsidR="00734000" w:rsidRPr="000B3F96" w:rsidRDefault="00734000" w:rsidP="001D7335">
      <w:pPr>
        <w:pStyle w:val="ListParagraph"/>
        <w:numPr>
          <w:ilvl w:val="0"/>
          <w:numId w:val="10"/>
        </w:numPr>
        <w:spacing w:afterLines="50" w:after="180"/>
        <w:ind w:leftChars="0" w:left="1701" w:hanging="142"/>
        <w:rPr>
          <w:sz w:val="20"/>
          <w:szCs w:val="20"/>
        </w:rPr>
      </w:pPr>
      <w:proofErr w:type="gramStart"/>
      <w:r w:rsidRPr="000B3F96">
        <w:rPr>
          <w:rFonts w:hint="eastAsia"/>
          <w:sz w:val="20"/>
          <w:szCs w:val="20"/>
        </w:rPr>
        <w:t>in</w:t>
      </w:r>
      <w:proofErr w:type="gramEnd"/>
      <w:r w:rsidRPr="000B3F96">
        <w:rPr>
          <w:rFonts w:hint="eastAsia"/>
          <w:sz w:val="20"/>
          <w:szCs w:val="20"/>
        </w:rPr>
        <w:t xml:space="preserve"> case of transmit power of 2 W and the antenna height is 4 m, the blocking will occur when the ship-B comes close to the distance D = 0.043 NM (80 m).</w:t>
      </w:r>
    </w:p>
    <w:p w:rsidR="004B303F" w:rsidRPr="005B349D" w:rsidRDefault="004B303F" w:rsidP="004B303F">
      <w:pPr>
        <w:spacing w:afterLines="50" w:after="180"/>
        <w:ind w:leftChars="472" w:left="1699" w:hanging="708"/>
        <w:rPr>
          <w:sz w:val="22"/>
        </w:rPr>
      </w:pPr>
    </w:p>
    <w:p w:rsidR="004B303F" w:rsidRDefault="004B303F" w:rsidP="004B303F">
      <w:pPr>
        <w:spacing w:afterLines="50" w:after="180"/>
        <w:ind w:firstLineChars="129" w:firstLine="284"/>
        <w:rPr>
          <w:sz w:val="22"/>
        </w:rPr>
      </w:pPr>
      <w:r>
        <w:rPr>
          <w:rFonts w:hint="eastAsia"/>
          <w:sz w:val="22"/>
        </w:rPr>
        <w:t>For other situation, it is easily read out from Table 1</w:t>
      </w:r>
    </w:p>
    <w:p w:rsidR="0092637D" w:rsidRDefault="00027FEC" w:rsidP="0092637D">
      <w:pPr>
        <w:spacing w:afterLines="50" w:after="180"/>
        <w:ind w:firstLineChars="129" w:firstLine="271"/>
        <w:rPr>
          <w:sz w:val="22"/>
        </w:rPr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-36.35pt;margin-top:1.8pt;width:508.6pt;height:397.4pt;z-index:251665408;mso-position-horizontal-relative:text;mso-position-vertical-relative:text">
            <v:imagedata r:id="rId10" o:title=""/>
            <w10:wrap type="square"/>
          </v:shape>
          <o:OLEObject Type="Embed" ProgID="Excel.Sheet.12" ShapeID="_x0000_s1032" DrawAspect="Content" ObjectID="_1361514049" r:id="rId11"/>
        </w:pict>
      </w:r>
    </w:p>
    <w:p w:rsidR="00843FAC" w:rsidRDefault="00843FAC" w:rsidP="009648D8">
      <w:pPr>
        <w:spacing w:afterLines="50" w:after="180"/>
        <w:ind w:firstLineChars="129" w:firstLine="284"/>
        <w:rPr>
          <w:sz w:val="22"/>
        </w:rPr>
      </w:pPr>
      <w:r>
        <w:rPr>
          <w:rFonts w:hint="eastAsia"/>
          <w:sz w:val="22"/>
        </w:rPr>
        <w:t>Table 2 shows</w:t>
      </w:r>
      <w:r w:rsidR="0059140E">
        <w:rPr>
          <w:rFonts w:hint="eastAsia"/>
          <w:sz w:val="22"/>
        </w:rPr>
        <w:t>, for reference,</w:t>
      </w:r>
      <w:r>
        <w:rPr>
          <w:rFonts w:hint="eastAsia"/>
          <w:sz w:val="22"/>
        </w:rPr>
        <w:t xml:space="preserve"> the line of sight distance (radio horizon) relating to the antenna height.</w:t>
      </w:r>
    </w:p>
    <w:p w:rsidR="00FA686E" w:rsidRDefault="00027FEC" w:rsidP="009648D8">
      <w:pPr>
        <w:spacing w:afterLines="50" w:after="180"/>
        <w:ind w:firstLineChars="129" w:firstLine="284"/>
        <w:rPr>
          <w:sz w:val="22"/>
        </w:rPr>
      </w:pPr>
      <w:r>
        <w:rPr>
          <w:noProof/>
          <w:sz w:val="22"/>
        </w:rPr>
        <w:pict>
          <v:shape id="_x0000_s1030" type="#_x0000_t75" style="position:absolute;left:0;text-align:left;margin-left:70.95pt;margin-top:3.9pt;width:283.05pt;height:129pt;z-index:-251653120;mso-position-horizontal-relative:text;mso-position-vertical-relative:text" wrapcoords="1406 1431 137 3253 137 20559 21360 20559 21429 3383 20057 1431 1406 1431" o:allowoverlap="f">
            <v:imagedata r:id="rId12" o:title=""/>
            <w10:wrap type="square"/>
          </v:shape>
          <o:OLEObject Type="Embed" ProgID="Excel.Sheet.12" ShapeID="_x0000_s1030" DrawAspect="Content" ObjectID="_1361514050" r:id="rId13"/>
        </w:pict>
      </w:r>
    </w:p>
    <w:p w:rsidR="00FA686E" w:rsidRDefault="00FA686E" w:rsidP="009648D8">
      <w:pPr>
        <w:spacing w:afterLines="50" w:after="180"/>
        <w:ind w:firstLineChars="129" w:firstLine="284"/>
        <w:rPr>
          <w:sz w:val="22"/>
        </w:rPr>
      </w:pPr>
    </w:p>
    <w:p w:rsidR="00FA686E" w:rsidRDefault="00FA686E" w:rsidP="009648D8">
      <w:pPr>
        <w:spacing w:afterLines="50" w:after="180"/>
        <w:ind w:firstLineChars="129" w:firstLine="284"/>
        <w:rPr>
          <w:sz w:val="22"/>
        </w:rPr>
      </w:pPr>
    </w:p>
    <w:p w:rsidR="00FA686E" w:rsidRDefault="00FA686E" w:rsidP="009648D8">
      <w:pPr>
        <w:spacing w:afterLines="50" w:after="180"/>
        <w:ind w:firstLineChars="129" w:firstLine="284"/>
        <w:rPr>
          <w:sz w:val="22"/>
        </w:rPr>
      </w:pPr>
    </w:p>
    <w:p w:rsidR="00FA686E" w:rsidRDefault="00FA686E" w:rsidP="009648D8">
      <w:pPr>
        <w:spacing w:afterLines="50" w:after="180"/>
        <w:ind w:firstLineChars="129" w:firstLine="284"/>
        <w:rPr>
          <w:sz w:val="22"/>
        </w:rPr>
      </w:pPr>
    </w:p>
    <w:p w:rsidR="00843FAC" w:rsidRPr="0059140E" w:rsidRDefault="00843FAC" w:rsidP="009648D8">
      <w:pPr>
        <w:spacing w:afterLines="50" w:after="180"/>
        <w:ind w:firstLineChars="129" w:firstLine="284"/>
        <w:rPr>
          <w:sz w:val="22"/>
        </w:rPr>
      </w:pPr>
    </w:p>
    <w:p w:rsidR="00EE123D" w:rsidRPr="00104A0F" w:rsidRDefault="00EE123D" w:rsidP="005D7A9D">
      <w:pPr>
        <w:pStyle w:val="Heading1"/>
        <w:numPr>
          <w:ilvl w:val="0"/>
          <w:numId w:val="1"/>
        </w:numPr>
        <w:rPr>
          <w:b/>
        </w:rPr>
      </w:pPr>
      <w:r w:rsidRPr="00104A0F">
        <w:rPr>
          <w:rFonts w:hint="eastAsia"/>
          <w:b/>
        </w:rPr>
        <w:lastRenderedPageBreak/>
        <w:t>Conclusion</w:t>
      </w:r>
    </w:p>
    <w:p w:rsidR="00E55D53" w:rsidRDefault="00776AD0" w:rsidP="009648D8">
      <w:pPr>
        <w:spacing w:afterLines="50" w:after="180"/>
        <w:ind w:firstLineChars="129" w:firstLine="284"/>
        <w:rPr>
          <w:sz w:val="22"/>
        </w:rPr>
      </w:pPr>
      <w:r>
        <w:rPr>
          <w:rFonts w:hint="eastAsia"/>
          <w:sz w:val="22"/>
        </w:rPr>
        <w:t xml:space="preserve">As shown in Table 1, there is no major difference </w:t>
      </w:r>
      <w:r w:rsidR="00F1606E">
        <w:rPr>
          <w:rFonts w:hint="eastAsia"/>
          <w:sz w:val="22"/>
        </w:rPr>
        <w:t xml:space="preserve">on </w:t>
      </w:r>
      <w:r>
        <w:rPr>
          <w:rFonts w:hint="eastAsia"/>
          <w:sz w:val="22"/>
        </w:rPr>
        <w:t xml:space="preserve">the distance to occur the blocking.  For </w:t>
      </w:r>
      <w:r>
        <w:rPr>
          <w:sz w:val="22"/>
        </w:rPr>
        <w:t>example</w:t>
      </w:r>
      <w:r>
        <w:rPr>
          <w:rFonts w:hint="eastAsia"/>
          <w:sz w:val="22"/>
        </w:rPr>
        <w:t xml:space="preserve">, when using 4 m antenna height, the blocking </w:t>
      </w:r>
      <w:r>
        <w:rPr>
          <w:sz w:val="22"/>
        </w:rPr>
        <w:t>occurrence</w:t>
      </w:r>
      <w:r>
        <w:rPr>
          <w:rFonts w:hint="eastAsia"/>
          <w:sz w:val="22"/>
        </w:rPr>
        <w:t xml:space="preserve"> distance is 0.06 NM (110 m) </w:t>
      </w:r>
      <w:r w:rsidR="00F1606E">
        <w:rPr>
          <w:rFonts w:hint="eastAsia"/>
          <w:sz w:val="22"/>
        </w:rPr>
        <w:t xml:space="preserve">at </w:t>
      </w:r>
      <w:r>
        <w:rPr>
          <w:rFonts w:hint="eastAsia"/>
          <w:sz w:val="22"/>
        </w:rPr>
        <w:t xml:space="preserve">2 W and 0.08 NM (150 m) </w:t>
      </w:r>
      <w:r w:rsidR="00F1606E">
        <w:rPr>
          <w:rFonts w:hint="eastAsia"/>
          <w:sz w:val="22"/>
        </w:rPr>
        <w:t xml:space="preserve">at </w:t>
      </w:r>
      <w:r>
        <w:rPr>
          <w:rFonts w:hint="eastAsia"/>
          <w:sz w:val="22"/>
        </w:rPr>
        <w:t>12</w:t>
      </w:r>
      <w:proofErr w:type="gramStart"/>
      <w:r>
        <w:rPr>
          <w:rFonts w:hint="eastAsia"/>
          <w:sz w:val="22"/>
        </w:rPr>
        <w:t>,5</w:t>
      </w:r>
      <w:proofErr w:type="gramEnd"/>
      <w:r>
        <w:rPr>
          <w:rFonts w:hint="eastAsia"/>
          <w:sz w:val="22"/>
        </w:rPr>
        <w:t xml:space="preserve"> W </w:t>
      </w:r>
      <w:r>
        <w:rPr>
          <w:sz w:val="22"/>
        </w:rPr>
        <w:t>–</w:t>
      </w:r>
      <w:r>
        <w:rPr>
          <w:rFonts w:hint="eastAsia"/>
          <w:sz w:val="22"/>
        </w:rPr>
        <w:t xml:space="preserve"> only 40 m difference.</w:t>
      </w:r>
    </w:p>
    <w:p w:rsidR="006765F6" w:rsidRDefault="00776AD0" w:rsidP="009648D8">
      <w:pPr>
        <w:spacing w:afterLines="50" w:after="180"/>
        <w:ind w:firstLineChars="129" w:firstLine="284"/>
        <w:rPr>
          <w:sz w:val="22"/>
        </w:rPr>
      </w:pPr>
      <w:r>
        <w:rPr>
          <w:rFonts w:hint="eastAsia"/>
          <w:sz w:val="22"/>
        </w:rPr>
        <w:t xml:space="preserve">However, </w:t>
      </w:r>
      <w:r w:rsidR="00E55D53">
        <w:rPr>
          <w:rFonts w:hint="eastAsia"/>
          <w:sz w:val="22"/>
        </w:rPr>
        <w:t>when looking at the coverage distance</w:t>
      </w:r>
      <w:r w:rsidR="006765F6">
        <w:rPr>
          <w:rFonts w:hint="eastAsia"/>
          <w:sz w:val="22"/>
        </w:rPr>
        <w:t xml:space="preserve"> (reaches to the sensitivity level)</w:t>
      </w:r>
      <w:r w:rsidR="00E55D53">
        <w:rPr>
          <w:rFonts w:hint="eastAsia"/>
          <w:sz w:val="22"/>
        </w:rPr>
        <w:t xml:space="preserve">, 5 W transmission </w:t>
      </w:r>
      <w:r w:rsidR="00486DE6">
        <w:rPr>
          <w:rFonts w:hint="eastAsia"/>
          <w:sz w:val="22"/>
        </w:rPr>
        <w:t xml:space="preserve">is </w:t>
      </w:r>
      <w:r w:rsidR="00E55D53">
        <w:rPr>
          <w:rFonts w:hint="eastAsia"/>
          <w:sz w:val="22"/>
        </w:rPr>
        <w:t xml:space="preserve">about </w:t>
      </w:r>
      <w:r w:rsidR="00486DE6">
        <w:rPr>
          <w:rFonts w:hint="eastAsia"/>
          <w:sz w:val="22"/>
        </w:rPr>
        <w:t>78</w:t>
      </w:r>
      <w:r w:rsidR="00E55D53">
        <w:rPr>
          <w:rFonts w:hint="eastAsia"/>
          <w:sz w:val="22"/>
        </w:rPr>
        <w:t>%</w:t>
      </w:r>
      <w:r w:rsidR="006765F6">
        <w:rPr>
          <w:rFonts w:hint="eastAsia"/>
          <w:sz w:val="22"/>
        </w:rPr>
        <w:t xml:space="preserve"> </w:t>
      </w:r>
      <w:r w:rsidR="00486DE6">
        <w:rPr>
          <w:rFonts w:hint="eastAsia"/>
          <w:sz w:val="22"/>
        </w:rPr>
        <w:t>of 12</w:t>
      </w:r>
      <w:proofErr w:type="gramStart"/>
      <w:r w:rsidR="00486DE6">
        <w:rPr>
          <w:rFonts w:hint="eastAsia"/>
          <w:sz w:val="22"/>
        </w:rPr>
        <w:t>,5</w:t>
      </w:r>
      <w:proofErr w:type="gramEnd"/>
      <w:r w:rsidR="00486DE6">
        <w:rPr>
          <w:rFonts w:hint="eastAsia"/>
          <w:sz w:val="22"/>
        </w:rPr>
        <w:t xml:space="preserve"> W transmission </w:t>
      </w:r>
      <w:r w:rsidR="006765F6">
        <w:rPr>
          <w:rFonts w:hint="eastAsia"/>
          <w:sz w:val="22"/>
        </w:rPr>
        <w:t>(21 km/27 km at 4m antenna height)</w:t>
      </w:r>
      <w:r w:rsidR="00486DE6">
        <w:rPr>
          <w:rFonts w:hint="eastAsia"/>
          <w:sz w:val="22"/>
        </w:rPr>
        <w:t xml:space="preserve">. Also, </w:t>
      </w:r>
      <w:r w:rsidR="00E55D53">
        <w:rPr>
          <w:rFonts w:hint="eastAsia"/>
          <w:sz w:val="22"/>
        </w:rPr>
        <w:t xml:space="preserve">2W transmission </w:t>
      </w:r>
      <w:r w:rsidR="00486DE6">
        <w:rPr>
          <w:rFonts w:hint="eastAsia"/>
          <w:sz w:val="22"/>
        </w:rPr>
        <w:t xml:space="preserve">is </w:t>
      </w:r>
      <w:r w:rsidR="00E55D53">
        <w:rPr>
          <w:rFonts w:hint="eastAsia"/>
          <w:sz w:val="22"/>
        </w:rPr>
        <w:t xml:space="preserve">about </w:t>
      </w:r>
      <w:r w:rsidR="00486DE6">
        <w:rPr>
          <w:rFonts w:hint="eastAsia"/>
          <w:sz w:val="22"/>
        </w:rPr>
        <w:t>59</w:t>
      </w:r>
      <w:r w:rsidR="00E55D53">
        <w:rPr>
          <w:rFonts w:hint="eastAsia"/>
          <w:sz w:val="22"/>
        </w:rPr>
        <w:t xml:space="preserve">% </w:t>
      </w:r>
      <w:r w:rsidR="006765F6">
        <w:rPr>
          <w:rFonts w:hint="eastAsia"/>
          <w:sz w:val="22"/>
        </w:rPr>
        <w:t xml:space="preserve">(16 km/27 km at 4 m antenna height) </w:t>
      </w:r>
      <w:r w:rsidR="00486DE6">
        <w:rPr>
          <w:rFonts w:hint="eastAsia"/>
          <w:sz w:val="22"/>
        </w:rPr>
        <w:t xml:space="preserve">of </w:t>
      </w:r>
      <w:r w:rsidR="006765F6">
        <w:rPr>
          <w:rFonts w:hint="eastAsia"/>
          <w:sz w:val="22"/>
        </w:rPr>
        <w:t>12</w:t>
      </w:r>
      <w:proofErr w:type="gramStart"/>
      <w:r w:rsidR="006765F6">
        <w:rPr>
          <w:rFonts w:hint="eastAsia"/>
          <w:sz w:val="22"/>
        </w:rPr>
        <w:t>,5</w:t>
      </w:r>
      <w:proofErr w:type="gramEnd"/>
      <w:r w:rsidR="006765F6">
        <w:rPr>
          <w:rFonts w:hint="eastAsia"/>
          <w:sz w:val="22"/>
        </w:rPr>
        <w:t xml:space="preserve"> W</w:t>
      </w:r>
      <w:r w:rsidR="00486DE6">
        <w:rPr>
          <w:rFonts w:hint="eastAsia"/>
          <w:sz w:val="22"/>
        </w:rPr>
        <w:t xml:space="preserve"> transmission</w:t>
      </w:r>
      <w:r w:rsidR="006765F6">
        <w:rPr>
          <w:rFonts w:hint="eastAsia"/>
          <w:sz w:val="22"/>
        </w:rPr>
        <w:t xml:space="preserve">. </w:t>
      </w:r>
      <w:r w:rsidR="004614E2">
        <w:rPr>
          <w:rFonts w:hint="eastAsia"/>
          <w:sz w:val="22"/>
        </w:rPr>
        <w:t xml:space="preserve">When considering </w:t>
      </w:r>
      <w:r w:rsidR="00F1606E">
        <w:rPr>
          <w:rFonts w:hint="eastAsia"/>
          <w:sz w:val="22"/>
        </w:rPr>
        <w:t xml:space="preserve">that </w:t>
      </w:r>
      <w:r w:rsidR="004614E2">
        <w:rPr>
          <w:rFonts w:hint="eastAsia"/>
          <w:sz w:val="22"/>
        </w:rPr>
        <w:t>the product range of Class-B</w:t>
      </w:r>
      <w:r w:rsidR="004614E2">
        <w:rPr>
          <w:sz w:val="22"/>
        </w:rPr>
        <w:t>”</w:t>
      </w:r>
      <w:r w:rsidR="004614E2">
        <w:rPr>
          <w:rFonts w:hint="eastAsia"/>
          <w:sz w:val="22"/>
        </w:rPr>
        <w:t>SO</w:t>
      </w:r>
      <w:r w:rsidR="004614E2">
        <w:rPr>
          <w:sz w:val="22"/>
        </w:rPr>
        <w:t>”</w:t>
      </w:r>
      <w:r w:rsidR="004614E2">
        <w:rPr>
          <w:rFonts w:hint="eastAsia"/>
          <w:sz w:val="22"/>
        </w:rPr>
        <w:t xml:space="preserve"> is between Class-B</w:t>
      </w:r>
      <w:r w:rsidR="004614E2">
        <w:rPr>
          <w:sz w:val="22"/>
        </w:rPr>
        <w:t>”</w:t>
      </w:r>
      <w:r w:rsidR="004614E2">
        <w:rPr>
          <w:rFonts w:hint="eastAsia"/>
          <w:sz w:val="22"/>
        </w:rPr>
        <w:t>CS</w:t>
      </w:r>
      <w:r w:rsidR="004614E2">
        <w:rPr>
          <w:sz w:val="22"/>
        </w:rPr>
        <w:t>”</w:t>
      </w:r>
      <w:r w:rsidR="004614E2">
        <w:rPr>
          <w:rFonts w:hint="eastAsia"/>
          <w:sz w:val="22"/>
        </w:rPr>
        <w:t xml:space="preserve"> and Class-A, the </w:t>
      </w:r>
      <w:r w:rsidR="00F1606E">
        <w:rPr>
          <w:rFonts w:hint="eastAsia"/>
          <w:sz w:val="22"/>
        </w:rPr>
        <w:t xml:space="preserve">high power level setting </w:t>
      </w:r>
      <w:r w:rsidR="004614E2">
        <w:rPr>
          <w:rFonts w:hint="eastAsia"/>
          <w:sz w:val="22"/>
        </w:rPr>
        <w:t>for Class-B</w:t>
      </w:r>
      <w:r w:rsidR="004614E2">
        <w:rPr>
          <w:sz w:val="22"/>
        </w:rPr>
        <w:t>”</w:t>
      </w:r>
      <w:r w:rsidR="004614E2">
        <w:rPr>
          <w:rFonts w:hint="eastAsia"/>
          <w:sz w:val="22"/>
        </w:rPr>
        <w:t>SO</w:t>
      </w:r>
      <w:r w:rsidR="004614E2">
        <w:rPr>
          <w:sz w:val="22"/>
        </w:rPr>
        <w:t>”</w:t>
      </w:r>
      <w:r w:rsidR="004614E2">
        <w:rPr>
          <w:rFonts w:hint="eastAsia"/>
          <w:sz w:val="22"/>
        </w:rPr>
        <w:t xml:space="preserve"> is recommended to 5 W</w:t>
      </w:r>
      <w:r w:rsidR="00F1606E">
        <w:rPr>
          <w:rFonts w:hint="eastAsia"/>
          <w:sz w:val="22"/>
        </w:rPr>
        <w:t>, which is 4 dB higher than 2 W (Class-B</w:t>
      </w:r>
      <w:r w:rsidR="00F1606E">
        <w:rPr>
          <w:sz w:val="22"/>
        </w:rPr>
        <w:t>”</w:t>
      </w:r>
      <w:r w:rsidR="00F1606E">
        <w:rPr>
          <w:rFonts w:hint="eastAsia"/>
          <w:sz w:val="22"/>
        </w:rPr>
        <w:t>CS</w:t>
      </w:r>
      <w:r w:rsidR="00F1606E">
        <w:rPr>
          <w:sz w:val="22"/>
        </w:rPr>
        <w:t>”</w:t>
      </w:r>
      <w:r w:rsidR="00F1606E">
        <w:rPr>
          <w:rFonts w:hint="eastAsia"/>
          <w:sz w:val="22"/>
        </w:rPr>
        <w:t>) and 4 dB lower than 12,5 W (Class-A)</w:t>
      </w:r>
      <w:r w:rsidR="004614E2">
        <w:rPr>
          <w:rFonts w:hint="eastAsia"/>
          <w:sz w:val="22"/>
        </w:rPr>
        <w:t>.</w:t>
      </w:r>
    </w:p>
    <w:p w:rsidR="00480A4B" w:rsidRPr="00F1606E" w:rsidRDefault="00480A4B" w:rsidP="009648D8">
      <w:pPr>
        <w:spacing w:afterLines="50" w:after="180"/>
        <w:ind w:firstLineChars="129" w:firstLine="284"/>
        <w:rPr>
          <w:sz w:val="22"/>
        </w:rPr>
      </w:pPr>
    </w:p>
    <w:p w:rsidR="00480A4B" w:rsidRPr="004614E2" w:rsidRDefault="00480A4B" w:rsidP="00480A4B">
      <w:pPr>
        <w:pBdr>
          <w:bottom w:val="single" w:sz="4" w:space="1" w:color="auto"/>
        </w:pBdr>
        <w:spacing w:afterLines="50" w:after="180"/>
        <w:ind w:leftChars="1620" w:left="3402" w:rightChars="1416" w:right="2974" w:firstLineChars="129" w:firstLine="284"/>
        <w:rPr>
          <w:sz w:val="22"/>
        </w:rPr>
      </w:pPr>
    </w:p>
    <w:p w:rsidR="008328A1" w:rsidRPr="009648D8" w:rsidRDefault="008328A1" w:rsidP="00480A4B">
      <w:pPr>
        <w:spacing w:afterLines="50" w:after="180"/>
        <w:rPr>
          <w:sz w:val="22"/>
        </w:rPr>
      </w:pPr>
    </w:p>
    <w:p w:rsidR="008328A1" w:rsidRDefault="008328A1">
      <w:pPr>
        <w:widowControl/>
        <w:jc w:val="left"/>
        <w:rPr>
          <w:rFonts w:ascii="MS PGothic" w:eastAsia="MS PGothic" w:hAnsi="MS PGothic"/>
          <w:sz w:val="22"/>
        </w:rPr>
      </w:pPr>
    </w:p>
    <w:sectPr w:rsidR="008328A1">
      <w:headerReference w:type="default" r:id="rId14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FEC" w:rsidRDefault="00027FEC" w:rsidP="000F028A">
      <w:r>
        <w:separator/>
      </w:r>
    </w:p>
  </w:endnote>
  <w:endnote w:type="continuationSeparator" w:id="0">
    <w:p w:rsidR="00027FEC" w:rsidRDefault="00027FEC" w:rsidP="000F0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FEC" w:rsidRDefault="00027FEC" w:rsidP="000F028A">
      <w:r>
        <w:separator/>
      </w:r>
    </w:p>
  </w:footnote>
  <w:footnote w:type="continuationSeparator" w:id="0">
    <w:p w:rsidR="00027FEC" w:rsidRDefault="00027FEC" w:rsidP="000F02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CBA" w:rsidRDefault="00C61CBA">
    <w:pPr>
      <w:pStyle w:val="Header"/>
    </w:pPr>
    <w:r>
      <w:tab/>
    </w:r>
    <w:r>
      <w:tab/>
    </w:r>
    <w:proofErr w:type="gramStart"/>
    <w:r>
      <w:t>e-NAV9/9/15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B08DC"/>
    <w:multiLevelType w:val="hybridMultilevel"/>
    <w:tmpl w:val="06D81084"/>
    <w:lvl w:ilvl="0" w:tplc="041D0003">
      <w:start w:val="1"/>
      <w:numFmt w:val="bullet"/>
      <w:lvlText w:val="o"/>
      <w:lvlJc w:val="left"/>
      <w:pPr>
        <w:ind w:left="420" w:hanging="420"/>
      </w:pPr>
      <w:rPr>
        <w:rFonts w:ascii="Courier New" w:hAnsi="Courier New" w:cs="Courier New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FCE742B"/>
    <w:multiLevelType w:val="hybridMultilevel"/>
    <w:tmpl w:val="A71A0C9C"/>
    <w:lvl w:ilvl="0" w:tplc="041D0003">
      <w:start w:val="1"/>
      <w:numFmt w:val="bullet"/>
      <w:lvlText w:val="o"/>
      <w:lvlJc w:val="left"/>
      <w:pPr>
        <w:ind w:left="420" w:hanging="420"/>
      </w:pPr>
      <w:rPr>
        <w:rFonts w:ascii="Courier New" w:hAnsi="Courier New" w:cs="Courier New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3613B55"/>
    <w:multiLevelType w:val="hybridMultilevel"/>
    <w:tmpl w:val="DC44DDC0"/>
    <w:lvl w:ilvl="0" w:tplc="D278BF8C">
      <w:numFmt w:val="bullet"/>
      <w:lvlText w:val=""/>
      <w:lvlJc w:val="left"/>
      <w:pPr>
        <w:ind w:left="821" w:hanging="42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2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1" w:hanging="420"/>
      </w:pPr>
      <w:rPr>
        <w:rFonts w:ascii="Wingdings" w:hAnsi="Wingdings" w:hint="default"/>
      </w:rPr>
    </w:lvl>
  </w:abstractNum>
  <w:abstractNum w:abstractNumId="3">
    <w:nsid w:val="3422402B"/>
    <w:multiLevelType w:val="hybridMultilevel"/>
    <w:tmpl w:val="02A60A78"/>
    <w:lvl w:ilvl="0" w:tplc="D278BF8C">
      <w:numFmt w:val="bullet"/>
      <w:lvlText w:val=""/>
      <w:lvlJc w:val="left"/>
      <w:pPr>
        <w:ind w:left="821" w:hanging="42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2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1" w:hanging="420"/>
      </w:pPr>
      <w:rPr>
        <w:rFonts w:ascii="Wingdings" w:hAnsi="Wingdings" w:hint="default"/>
      </w:rPr>
    </w:lvl>
  </w:abstractNum>
  <w:abstractNum w:abstractNumId="4">
    <w:nsid w:val="3A6D3018"/>
    <w:multiLevelType w:val="hybridMultilevel"/>
    <w:tmpl w:val="D38E64B6"/>
    <w:lvl w:ilvl="0" w:tplc="33D256F8">
      <w:numFmt w:val="bullet"/>
      <w:lvlText w:val="-"/>
      <w:lvlJc w:val="left"/>
      <w:pPr>
        <w:ind w:left="1349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82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9" w:hanging="420"/>
      </w:pPr>
      <w:rPr>
        <w:rFonts w:ascii="Wingdings" w:hAnsi="Wingdings" w:hint="default"/>
      </w:rPr>
    </w:lvl>
  </w:abstractNum>
  <w:abstractNum w:abstractNumId="5">
    <w:nsid w:val="3F072507"/>
    <w:multiLevelType w:val="hybridMultilevel"/>
    <w:tmpl w:val="8A067BF8"/>
    <w:lvl w:ilvl="0" w:tplc="041D0003">
      <w:start w:val="1"/>
      <w:numFmt w:val="bullet"/>
      <w:lvlText w:val="o"/>
      <w:lvlJc w:val="left"/>
      <w:pPr>
        <w:ind w:left="420" w:hanging="420"/>
      </w:pPr>
      <w:rPr>
        <w:rFonts w:ascii="Courier New" w:hAnsi="Courier New" w:cs="Courier New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449E1518"/>
    <w:multiLevelType w:val="hybridMultilevel"/>
    <w:tmpl w:val="BA689B1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D278BF8C">
      <w:numFmt w:val="bullet"/>
      <w:lvlText w:val=""/>
      <w:lvlJc w:val="left"/>
      <w:pPr>
        <w:ind w:left="1260" w:hanging="840"/>
      </w:pPr>
      <w:rPr>
        <w:rFonts w:ascii="Wingdings" w:eastAsiaTheme="minorEastAsia" w:hAnsi="Wingdings" w:cstheme="minorBidi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547B3CFA"/>
    <w:multiLevelType w:val="hybridMultilevel"/>
    <w:tmpl w:val="F076873C"/>
    <w:lvl w:ilvl="0" w:tplc="041D0003">
      <w:start w:val="1"/>
      <w:numFmt w:val="bullet"/>
      <w:lvlText w:val="o"/>
      <w:lvlJc w:val="left"/>
      <w:pPr>
        <w:ind w:left="821" w:hanging="420"/>
      </w:pPr>
      <w:rPr>
        <w:rFonts w:ascii="Courier New" w:hAnsi="Courier New" w:cs="Courier New" w:hint="default"/>
      </w:rPr>
    </w:lvl>
    <w:lvl w:ilvl="1" w:tplc="0409000B" w:tentative="1">
      <w:start w:val="1"/>
      <w:numFmt w:val="bullet"/>
      <w:lvlText w:val=""/>
      <w:lvlJc w:val="left"/>
      <w:pPr>
        <w:ind w:left="12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1" w:hanging="420"/>
      </w:pPr>
      <w:rPr>
        <w:rFonts w:ascii="Wingdings" w:hAnsi="Wingdings" w:hint="default"/>
      </w:rPr>
    </w:lvl>
  </w:abstractNum>
  <w:abstractNum w:abstractNumId="8">
    <w:nsid w:val="55D62A4A"/>
    <w:multiLevelType w:val="hybridMultilevel"/>
    <w:tmpl w:val="607249EC"/>
    <w:lvl w:ilvl="0" w:tplc="151ACE34">
      <w:numFmt w:val="bullet"/>
      <w:lvlText w:val=""/>
      <w:lvlJc w:val="left"/>
      <w:pPr>
        <w:ind w:left="840" w:hanging="84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735B4B33"/>
    <w:multiLevelType w:val="hybridMultilevel"/>
    <w:tmpl w:val="62B67988"/>
    <w:lvl w:ilvl="0" w:tplc="D278BF8C">
      <w:numFmt w:val="bullet"/>
      <w:lvlText w:val=""/>
      <w:lvlJc w:val="left"/>
      <w:pPr>
        <w:ind w:left="821" w:hanging="42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2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1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0"/>
  </w:num>
  <w:num w:numId="5">
    <w:abstractNumId w:val="5"/>
  </w:num>
  <w:num w:numId="6">
    <w:abstractNumId w:val="7"/>
  </w:num>
  <w:num w:numId="7">
    <w:abstractNumId w:val="9"/>
  </w:num>
  <w:num w:numId="8">
    <w:abstractNumId w:val="2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731"/>
    <w:rsid w:val="00027FEC"/>
    <w:rsid w:val="00034E48"/>
    <w:rsid w:val="00053F63"/>
    <w:rsid w:val="000B3F96"/>
    <w:rsid w:val="000B4D81"/>
    <w:rsid w:val="000D0658"/>
    <w:rsid w:val="000D08BF"/>
    <w:rsid w:val="000E2EE3"/>
    <w:rsid w:val="000F028A"/>
    <w:rsid w:val="00104A0F"/>
    <w:rsid w:val="00110EE5"/>
    <w:rsid w:val="00116623"/>
    <w:rsid w:val="001218D4"/>
    <w:rsid w:val="00174BD1"/>
    <w:rsid w:val="0019277B"/>
    <w:rsid w:val="001A4758"/>
    <w:rsid w:val="001D7335"/>
    <w:rsid w:val="00270CF2"/>
    <w:rsid w:val="002A15DC"/>
    <w:rsid w:val="00304FFD"/>
    <w:rsid w:val="003540A4"/>
    <w:rsid w:val="0036288D"/>
    <w:rsid w:val="003F4DAF"/>
    <w:rsid w:val="00447C19"/>
    <w:rsid w:val="004614E2"/>
    <w:rsid w:val="00480A4B"/>
    <w:rsid w:val="00486DE6"/>
    <w:rsid w:val="004B303F"/>
    <w:rsid w:val="004D00D6"/>
    <w:rsid w:val="00520304"/>
    <w:rsid w:val="00575653"/>
    <w:rsid w:val="0059140E"/>
    <w:rsid w:val="005B349D"/>
    <w:rsid w:val="005D34A3"/>
    <w:rsid w:val="005D4B67"/>
    <w:rsid w:val="005D7A9D"/>
    <w:rsid w:val="00612321"/>
    <w:rsid w:val="006160A2"/>
    <w:rsid w:val="00653574"/>
    <w:rsid w:val="006709D8"/>
    <w:rsid w:val="006740DC"/>
    <w:rsid w:val="006765F6"/>
    <w:rsid w:val="006D1967"/>
    <w:rsid w:val="00734000"/>
    <w:rsid w:val="00740A31"/>
    <w:rsid w:val="00750C2F"/>
    <w:rsid w:val="00763562"/>
    <w:rsid w:val="007660A5"/>
    <w:rsid w:val="00776AD0"/>
    <w:rsid w:val="00777562"/>
    <w:rsid w:val="007D45F2"/>
    <w:rsid w:val="007E572E"/>
    <w:rsid w:val="007F52CF"/>
    <w:rsid w:val="008328A1"/>
    <w:rsid w:val="00843FAC"/>
    <w:rsid w:val="00853F6D"/>
    <w:rsid w:val="008553E8"/>
    <w:rsid w:val="008973BD"/>
    <w:rsid w:val="008A5307"/>
    <w:rsid w:val="008B3E18"/>
    <w:rsid w:val="008D4CCE"/>
    <w:rsid w:val="008D5108"/>
    <w:rsid w:val="00906300"/>
    <w:rsid w:val="0092637D"/>
    <w:rsid w:val="00930677"/>
    <w:rsid w:val="0093164F"/>
    <w:rsid w:val="009648D8"/>
    <w:rsid w:val="00982B44"/>
    <w:rsid w:val="009869E8"/>
    <w:rsid w:val="009A6015"/>
    <w:rsid w:val="009C02A6"/>
    <w:rsid w:val="009C0604"/>
    <w:rsid w:val="009C2731"/>
    <w:rsid w:val="009F21D1"/>
    <w:rsid w:val="00A172A4"/>
    <w:rsid w:val="00A174DA"/>
    <w:rsid w:val="00A252BC"/>
    <w:rsid w:val="00A308AA"/>
    <w:rsid w:val="00A35C12"/>
    <w:rsid w:val="00A5353F"/>
    <w:rsid w:val="00A732DA"/>
    <w:rsid w:val="00AB685A"/>
    <w:rsid w:val="00AE10E4"/>
    <w:rsid w:val="00B24CB5"/>
    <w:rsid w:val="00B27C72"/>
    <w:rsid w:val="00B3431B"/>
    <w:rsid w:val="00BB53B4"/>
    <w:rsid w:val="00BD23F1"/>
    <w:rsid w:val="00BD250B"/>
    <w:rsid w:val="00BE4FE8"/>
    <w:rsid w:val="00BE7BEE"/>
    <w:rsid w:val="00C4364A"/>
    <w:rsid w:val="00C61CBA"/>
    <w:rsid w:val="00C8213B"/>
    <w:rsid w:val="00C96794"/>
    <w:rsid w:val="00CE4E9B"/>
    <w:rsid w:val="00D11F16"/>
    <w:rsid w:val="00D61C5E"/>
    <w:rsid w:val="00D8746F"/>
    <w:rsid w:val="00E55D53"/>
    <w:rsid w:val="00EB4792"/>
    <w:rsid w:val="00EE123D"/>
    <w:rsid w:val="00F07F86"/>
    <w:rsid w:val="00F1606E"/>
    <w:rsid w:val="00F17A49"/>
    <w:rsid w:val="00F53A79"/>
    <w:rsid w:val="00F61531"/>
    <w:rsid w:val="00F65B69"/>
    <w:rsid w:val="00FA686E"/>
    <w:rsid w:val="00FB0C34"/>
    <w:rsid w:val="00FD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C273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0A4B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0A4B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0A4B"/>
    <w:pPr>
      <w:keepNext/>
      <w:ind w:leftChars="400" w:left="400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028A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0F028A"/>
  </w:style>
  <w:style w:type="paragraph" w:styleId="Footer">
    <w:name w:val="footer"/>
    <w:basedOn w:val="Normal"/>
    <w:link w:val="FooterChar"/>
    <w:uiPriority w:val="99"/>
    <w:unhideWhenUsed/>
    <w:rsid w:val="000F028A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0F028A"/>
  </w:style>
  <w:style w:type="character" w:customStyle="1" w:styleId="Heading1Char">
    <w:name w:val="Heading 1 Char"/>
    <w:basedOn w:val="DefaultParagraphFont"/>
    <w:link w:val="Heading1"/>
    <w:uiPriority w:val="9"/>
    <w:rsid w:val="009C2731"/>
    <w:rPr>
      <w:rFonts w:asciiTheme="majorHAnsi" w:eastAsiaTheme="majorEastAsia" w:hAnsiTheme="majorHAnsi" w:cstheme="majorBidi"/>
      <w:sz w:val="24"/>
      <w:szCs w:val="24"/>
    </w:rPr>
  </w:style>
  <w:style w:type="paragraph" w:styleId="ListParagraph">
    <w:name w:val="List Paragraph"/>
    <w:basedOn w:val="Normal"/>
    <w:uiPriority w:val="34"/>
    <w:qFormat/>
    <w:rsid w:val="008D4CCE"/>
    <w:pPr>
      <w:ind w:leftChars="400" w:left="840"/>
    </w:pPr>
  </w:style>
  <w:style w:type="paragraph" w:styleId="NormalWeb">
    <w:name w:val="Normal (Web)"/>
    <w:basedOn w:val="Normal"/>
    <w:uiPriority w:val="99"/>
    <w:unhideWhenUsed/>
    <w:rsid w:val="00AB685A"/>
    <w:pPr>
      <w:widowControl/>
      <w:spacing w:before="100" w:beforeAutospacing="1" w:after="100" w:afterAutospacing="1"/>
      <w:jc w:val="left"/>
    </w:pPr>
    <w:rPr>
      <w:rFonts w:ascii="MS PGothic" w:eastAsia="MS PGothic" w:hAnsi="MS PGothic" w:cs="MS PGothic"/>
      <w:kern w:val="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0A4B"/>
    <w:rPr>
      <w:rFonts w:asciiTheme="majorHAnsi" w:eastAsiaTheme="majorEastAsia" w:hAnsiTheme="majorHAnsi" w:cstheme="majorBidi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0A4B"/>
    <w:rPr>
      <w:rFonts w:asciiTheme="majorHAnsi" w:eastAsiaTheme="majorEastAsia" w:hAnsiTheme="majorHAnsi" w:cstheme="majorBidi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0A4B"/>
    <w:rPr>
      <w:b/>
      <w:bCs/>
    </w:rPr>
  </w:style>
  <w:style w:type="paragraph" w:customStyle="1" w:styleId="Normalaftertitle">
    <w:name w:val="Normal_after_title"/>
    <w:basedOn w:val="Normal"/>
    <w:next w:val="Normal"/>
    <w:rsid w:val="00480A4B"/>
    <w:pPr>
      <w:widowControl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20"/>
      <w:textAlignment w:val="baseline"/>
    </w:pPr>
    <w:rPr>
      <w:rFonts w:ascii="Times New Roman" w:hAnsi="Times New Roman" w:cs="Times New Roman"/>
      <w:kern w:val="0"/>
      <w:sz w:val="24"/>
      <w:szCs w:val="20"/>
      <w:lang w:val="fr-FR" w:eastAsia="en-US"/>
    </w:rPr>
  </w:style>
  <w:style w:type="paragraph" w:customStyle="1" w:styleId="Note">
    <w:name w:val="Note"/>
    <w:basedOn w:val="Normal"/>
    <w:rsid w:val="00480A4B"/>
    <w:pPr>
      <w:widowControl/>
      <w:overflowPunct w:val="0"/>
      <w:autoSpaceDE w:val="0"/>
      <w:autoSpaceDN w:val="0"/>
      <w:adjustRightInd w:val="0"/>
      <w:spacing w:before="80"/>
      <w:textAlignment w:val="baseline"/>
    </w:pPr>
    <w:rPr>
      <w:rFonts w:ascii="Times New Roman" w:hAnsi="Times New Roman" w:cs="Times New Roman"/>
      <w:kern w:val="0"/>
      <w:sz w:val="22"/>
      <w:szCs w:val="20"/>
      <w:lang w:val="fr-FR" w:eastAsia="en-US"/>
    </w:rPr>
  </w:style>
  <w:style w:type="paragraph" w:customStyle="1" w:styleId="Equation">
    <w:name w:val="Equation"/>
    <w:basedOn w:val="Normal"/>
    <w:rsid w:val="00480A4B"/>
    <w:pPr>
      <w:widowControl/>
      <w:tabs>
        <w:tab w:val="left" w:pos="794"/>
        <w:tab w:val="center" w:pos="4820"/>
        <w:tab w:val="right" w:pos="9639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 w:cs="Times New Roman"/>
      <w:kern w:val="0"/>
      <w:sz w:val="24"/>
      <w:szCs w:val="20"/>
      <w:lang w:val="fr-FR" w:eastAsia="en-US"/>
    </w:rPr>
  </w:style>
  <w:style w:type="paragraph" w:customStyle="1" w:styleId="Equationlegend">
    <w:name w:val="Equation_legend"/>
    <w:basedOn w:val="NormalIndent"/>
    <w:rsid w:val="00480A4B"/>
    <w:pPr>
      <w:widowControl/>
      <w:tabs>
        <w:tab w:val="right" w:pos="1701"/>
        <w:tab w:val="left" w:pos="1985"/>
      </w:tabs>
      <w:overflowPunct w:val="0"/>
      <w:autoSpaceDE w:val="0"/>
      <w:autoSpaceDN w:val="0"/>
      <w:adjustRightInd w:val="0"/>
      <w:spacing w:before="80"/>
      <w:ind w:leftChars="0" w:left="1985" w:hanging="1985"/>
      <w:textAlignment w:val="baseline"/>
    </w:pPr>
    <w:rPr>
      <w:rFonts w:ascii="Times New Roman" w:hAnsi="Times New Roman" w:cs="Times New Roman"/>
      <w:kern w:val="0"/>
      <w:sz w:val="24"/>
      <w:szCs w:val="20"/>
      <w:lang w:eastAsia="en-US"/>
    </w:rPr>
  </w:style>
  <w:style w:type="paragraph" w:customStyle="1" w:styleId="FigureNo">
    <w:name w:val="Figure_No"/>
    <w:basedOn w:val="Normal"/>
    <w:next w:val="Normal"/>
    <w:rsid w:val="00480A4B"/>
    <w:pPr>
      <w:keepNext/>
      <w:keepLines/>
      <w:widowControl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80"/>
      <w:jc w:val="center"/>
      <w:textAlignment w:val="baseline"/>
    </w:pPr>
    <w:rPr>
      <w:rFonts w:ascii="Times New Roman" w:hAnsi="Times New Roman" w:cs="Times New Roman"/>
      <w:caps/>
      <w:kern w:val="0"/>
      <w:sz w:val="18"/>
      <w:szCs w:val="20"/>
      <w:lang w:val="fr-FR" w:eastAsia="en-US"/>
    </w:rPr>
  </w:style>
  <w:style w:type="paragraph" w:customStyle="1" w:styleId="Blanc">
    <w:name w:val="Blanc"/>
    <w:basedOn w:val="Normal"/>
    <w:next w:val="Normal"/>
    <w:link w:val="BlancChar"/>
    <w:rsid w:val="00480A4B"/>
    <w:pPr>
      <w:keepNext/>
      <w:keepLines/>
      <w:widowControl/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Times New Roman"/>
      <w:kern w:val="0"/>
      <w:sz w:val="16"/>
      <w:szCs w:val="20"/>
      <w:lang w:val="en-GB" w:eastAsia="en-US"/>
    </w:rPr>
  </w:style>
  <w:style w:type="character" w:customStyle="1" w:styleId="BlancChar">
    <w:name w:val="Blanc Char"/>
    <w:basedOn w:val="DefaultParagraphFont"/>
    <w:link w:val="Blanc"/>
    <w:rsid w:val="00480A4B"/>
    <w:rPr>
      <w:rFonts w:ascii="Times New Roman" w:hAnsi="Times New Roman" w:cs="Times New Roman"/>
      <w:kern w:val="0"/>
      <w:sz w:val="16"/>
      <w:szCs w:val="20"/>
      <w:lang w:val="en-GB" w:eastAsia="en-US"/>
    </w:rPr>
  </w:style>
  <w:style w:type="paragraph" w:styleId="NormalIndent">
    <w:name w:val="Normal Indent"/>
    <w:basedOn w:val="Normal"/>
    <w:uiPriority w:val="99"/>
    <w:semiHidden/>
    <w:unhideWhenUsed/>
    <w:rsid w:val="00480A4B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C273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0A4B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0A4B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0A4B"/>
    <w:pPr>
      <w:keepNext/>
      <w:ind w:leftChars="400" w:left="400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028A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0F028A"/>
  </w:style>
  <w:style w:type="paragraph" w:styleId="Footer">
    <w:name w:val="footer"/>
    <w:basedOn w:val="Normal"/>
    <w:link w:val="FooterChar"/>
    <w:uiPriority w:val="99"/>
    <w:unhideWhenUsed/>
    <w:rsid w:val="000F028A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0F028A"/>
  </w:style>
  <w:style w:type="character" w:customStyle="1" w:styleId="Heading1Char">
    <w:name w:val="Heading 1 Char"/>
    <w:basedOn w:val="DefaultParagraphFont"/>
    <w:link w:val="Heading1"/>
    <w:uiPriority w:val="9"/>
    <w:rsid w:val="009C2731"/>
    <w:rPr>
      <w:rFonts w:asciiTheme="majorHAnsi" w:eastAsiaTheme="majorEastAsia" w:hAnsiTheme="majorHAnsi" w:cstheme="majorBidi"/>
      <w:sz w:val="24"/>
      <w:szCs w:val="24"/>
    </w:rPr>
  </w:style>
  <w:style w:type="paragraph" w:styleId="ListParagraph">
    <w:name w:val="List Paragraph"/>
    <w:basedOn w:val="Normal"/>
    <w:uiPriority w:val="34"/>
    <w:qFormat/>
    <w:rsid w:val="008D4CCE"/>
    <w:pPr>
      <w:ind w:leftChars="400" w:left="840"/>
    </w:pPr>
  </w:style>
  <w:style w:type="paragraph" w:styleId="NormalWeb">
    <w:name w:val="Normal (Web)"/>
    <w:basedOn w:val="Normal"/>
    <w:uiPriority w:val="99"/>
    <w:unhideWhenUsed/>
    <w:rsid w:val="00AB685A"/>
    <w:pPr>
      <w:widowControl/>
      <w:spacing w:before="100" w:beforeAutospacing="1" w:after="100" w:afterAutospacing="1"/>
      <w:jc w:val="left"/>
    </w:pPr>
    <w:rPr>
      <w:rFonts w:ascii="MS PGothic" w:eastAsia="MS PGothic" w:hAnsi="MS PGothic" w:cs="MS PGothic"/>
      <w:kern w:val="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0A4B"/>
    <w:rPr>
      <w:rFonts w:asciiTheme="majorHAnsi" w:eastAsiaTheme="majorEastAsia" w:hAnsiTheme="majorHAnsi" w:cstheme="majorBidi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0A4B"/>
    <w:rPr>
      <w:rFonts w:asciiTheme="majorHAnsi" w:eastAsiaTheme="majorEastAsia" w:hAnsiTheme="majorHAnsi" w:cstheme="majorBidi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0A4B"/>
    <w:rPr>
      <w:b/>
      <w:bCs/>
    </w:rPr>
  </w:style>
  <w:style w:type="paragraph" w:customStyle="1" w:styleId="Normalaftertitle">
    <w:name w:val="Normal_after_title"/>
    <w:basedOn w:val="Normal"/>
    <w:next w:val="Normal"/>
    <w:rsid w:val="00480A4B"/>
    <w:pPr>
      <w:widowControl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20"/>
      <w:textAlignment w:val="baseline"/>
    </w:pPr>
    <w:rPr>
      <w:rFonts w:ascii="Times New Roman" w:hAnsi="Times New Roman" w:cs="Times New Roman"/>
      <w:kern w:val="0"/>
      <w:sz w:val="24"/>
      <w:szCs w:val="20"/>
      <w:lang w:val="fr-FR" w:eastAsia="en-US"/>
    </w:rPr>
  </w:style>
  <w:style w:type="paragraph" w:customStyle="1" w:styleId="Note">
    <w:name w:val="Note"/>
    <w:basedOn w:val="Normal"/>
    <w:rsid w:val="00480A4B"/>
    <w:pPr>
      <w:widowControl/>
      <w:overflowPunct w:val="0"/>
      <w:autoSpaceDE w:val="0"/>
      <w:autoSpaceDN w:val="0"/>
      <w:adjustRightInd w:val="0"/>
      <w:spacing w:before="80"/>
      <w:textAlignment w:val="baseline"/>
    </w:pPr>
    <w:rPr>
      <w:rFonts w:ascii="Times New Roman" w:hAnsi="Times New Roman" w:cs="Times New Roman"/>
      <w:kern w:val="0"/>
      <w:sz w:val="22"/>
      <w:szCs w:val="20"/>
      <w:lang w:val="fr-FR" w:eastAsia="en-US"/>
    </w:rPr>
  </w:style>
  <w:style w:type="paragraph" w:customStyle="1" w:styleId="Equation">
    <w:name w:val="Equation"/>
    <w:basedOn w:val="Normal"/>
    <w:rsid w:val="00480A4B"/>
    <w:pPr>
      <w:widowControl/>
      <w:tabs>
        <w:tab w:val="left" w:pos="794"/>
        <w:tab w:val="center" w:pos="4820"/>
        <w:tab w:val="right" w:pos="9639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 w:cs="Times New Roman"/>
      <w:kern w:val="0"/>
      <w:sz w:val="24"/>
      <w:szCs w:val="20"/>
      <w:lang w:val="fr-FR" w:eastAsia="en-US"/>
    </w:rPr>
  </w:style>
  <w:style w:type="paragraph" w:customStyle="1" w:styleId="Equationlegend">
    <w:name w:val="Equation_legend"/>
    <w:basedOn w:val="NormalIndent"/>
    <w:rsid w:val="00480A4B"/>
    <w:pPr>
      <w:widowControl/>
      <w:tabs>
        <w:tab w:val="right" w:pos="1701"/>
        <w:tab w:val="left" w:pos="1985"/>
      </w:tabs>
      <w:overflowPunct w:val="0"/>
      <w:autoSpaceDE w:val="0"/>
      <w:autoSpaceDN w:val="0"/>
      <w:adjustRightInd w:val="0"/>
      <w:spacing w:before="80"/>
      <w:ind w:leftChars="0" w:left="1985" w:hanging="1985"/>
      <w:textAlignment w:val="baseline"/>
    </w:pPr>
    <w:rPr>
      <w:rFonts w:ascii="Times New Roman" w:hAnsi="Times New Roman" w:cs="Times New Roman"/>
      <w:kern w:val="0"/>
      <w:sz w:val="24"/>
      <w:szCs w:val="20"/>
      <w:lang w:eastAsia="en-US"/>
    </w:rPr>
  </w:style>
  <w:style w:type="paragraph" w:customStyle="1" w:styleId="FigureNo">
    <w:name w:val="Figure_No"/>
    <w:basedOn w:val="Normal"/>
    <w:next w:val="Normal"/>
    <w:rsid w:val="00480A4B"/>
    <w:pPr>
      <w:keepNext/>
      <w:keepLines/>
      <w:widowControl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80"/>
      <w:jc w:val="center"/>
      <w:textAlignment w:val="baseline"/>
    </w:pPr>
    <w:rPr>
      <w:rFonts w:ascii="Times New Roman" w:hAnsi="Times New Roman" w:cs="Times New Roman"/>
      <w:caps/>
      <w:kern w:val="0"/>
      <w:sz w:val="18"/>
      <w:szCs w:val="20"/>
      <w:lang w:val="fr-FR" w:eastAsia="en-US"/>
    </w:rPr>
  </w:style>
  <w:style w:type="paragraph" w:customStyle="1" w:styleId="Blanc">
    <w:name w:val="Blanc"/>
    <w:basedOn w:val="Normal"/>
    <w:next w:val="Normal"/>
    <w:link w:val="BlancChar"/>
    <w:rsid w:val="00480A4B"/>
    <w:pPr>
      <w:keepNext/>
      <w:keepLines/>
      <w:widowControl/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Times New Roman"/>
      <w:kern w:val="0"/>
      <w:sz w:val="16"/>
      <w:szCs w:val="20"/>
      <w:lang w:val="en-GB" w:eastAsia="en-US"/>
    </w:rPr>
  </w:style>
  <w:style w:type="character" w:customStyle="1" w:styleId="BlancChar">
    <w:name w:val="Blanc Char"/>
    <w:basedOn w:val="DefaultParagraphFont"/>
    <w:link w:val="Blanc"/>
    <w:rsid w:val="00480A4B"/>
    <w:rPr>
      <w:rFonts w:ascii="Times New Roman" w:hAnsi="Times New Roman" w:cs="Times New Roman"/>
      <w:kern w:val="0"/>
      <w:sz w:val="16"/>
      <w:szCs w:val="20"/>
      <w:lang w:val="en-GB" w:eastAsia="en-US"/>
    </w:rPr>
  </w:style>
  <w:style w:type="paragraph" w:styleId="NormalIndent">
    <w:name w:val="Normal Indent"/>
    <w:basedOn w:val="Normal"/>
    <w:uiPriority w:val="99"/>
    <w:semiHidden/>
    <w:unhideWhenUsed/>
    <w:rsid w:val="00480A4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1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package" Target="embeddings/Microsoft_Excel_Worksheet2.xlsx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package" Target="embeddings/Microsoft_Excel_Worksheet1.xlsx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078C7-6237-4B65-990B-960A35852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</Pages>
  <Words>918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JRC</Company>
  <LinksUpToDate>false</LinksUpToDate>
  <CharactersWithSpaces>6141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Kenji Furuyama</dc:creator>
  <cp:keywords/>
  <dc:description/>
  <cp:lastModifiedBy>Mike Hadley</cp:lastModifiedBy>
  <cp:revision>9</cp:revision>
  <dcterms:created xsi:type="dcterms:W3CDTF">2011-03-10T05:48:00Z</dcterms:created>
  <dcterms:modified xsi:type="dcterms:W3CDTF">2011-03-13T09:34:00Z</dcterms:modified>
</cp:coreProperties>
</file>